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widowControl w:val="0"/>
        <w:spacing w:line="580" w:lineRule="exact"/>
        <w:jc w:val="left"/>
        <w:rPr>
          <w:rFonts w:ascii="黑体" w:eastAsia="黑体" w:cs="方正小标宋简体"/>
          <w:sz w:val="32"/>
          <w:szCs w:val="32"/>
        </w:rPr>
      </w:pPr>
      <w:bookmarkStart w:id="0" w:name="_GoBack"/>
      <w:bookmarkEnd w:id="0"/>
    </w:p>
    <w:p>
      <w:pPr>
        <w:spacing w:line="600" w:lineRule="exact"/>
        <w:rPr>
          <w:rFonts w:ascii="方正小标宋简体" w:eastAsia="方正小标宋简体" w:cs="方正小标宋简体"/>
          <w:sz w:val="32"/>
          <w:szCs w:val="32"/>
        </w:rPr>
      </w:pPr>
    </w:p>
    <w:p>
      <w:pPr>
        <w:adjustRightInd w:val="0"/>
        <w:snapToGrid w:val="0"/>
        <w:spacing w:line="620" w:lineRule="exact"/>
        <w:jc w:val="center"/>
        <w:rPr>
          <w:rFonts w:ascii="方正小标宋简体" w:eastAsia="方正小标宋简体"/>
          <w:sz w:val="36"/>
          <w:szCs w:val="36"/>
        </w:rPr>
      </w:pPr>
      <w:r>
        <w:rPr>
          <w:rFonts w:ascii="方正小标宋简体" w:eastAsia="方正小标宋简体" w:hint="eastAsia"/>
          <w:sz w:val="36"/>
          <w:szCs w:val="36"/>
        </w:rPr>
        <w:t>2024年印刷复制质检活动</w:t>
      </w:r>
      <w:r>
        <w:rPr>
          <w:rFonts w:ascii="方正小标宋简体" w:eastAsia="方正小标宋简体" w:hint="eastAsia"/>
          <w:sz w:val="36"/>
          <w:szCs w:val="36"/>
          <w:lang w:eastAsia="zh-CN"/>
        </w:rPr>
        <w:t>工作</w:t>
      </w:r>
      <w:r>
        <w:rPr>
          <w:rFonts w:ascii="方正小标宋简体" w:eastAsia="方正小标宋简体" w:hint="eastAsia"/>
          <w:sz w:val="36"/>
          <w:szCs w:val="36"/>
        </w:rPr>
        <w:t>方案</w:t>
      </w:r>
    </w:p>
    <w:p>
      <w:pPr>
        <w:adjustRightInd w:val="0"/>
        <w:snapToGrid w:val="0"/>
        <w:spacing w:line="620" w:lineRule="exact"/>
        <w:jc w:val="center"/>
        <w:rPr>
          <w:rFonts w:ascii="仿宋_GB2312" w:eastAsia="仿宋_GB2312" w:cs="仿宋_GB2312"/>
          <w:sz w:val="32"/>
          <w:szCs w:val="32"/>
        </w:rPr>
      </w:pPr>
    </w:p>
    <w:p>
      <w:pPr>
        <w:adjustRightInd w:val="0"/>
        <w:snapToGrid w:val="0"/>
        <w:spacing w:line="620" w:lineRule="exact"/>
        <w:ind w:firstLineChars="200" w:firstLine="640"/>
        <w:rPr>
          <w:rFonts w:ascii="仿宋_GB2312" w:eastAsia="仿宋_GB2312" w:cs="仿宋_GB2312"/>
          <w:sz w:val="30"/>
          <w:szCs w:val="30"/>
        </w:rPr>
      </w:pPr>
      <w:r>
        <w:rPr>
          <w:rFonts w:ascii="仿宋_GB2312" w:eastAsia="仿宋_GB2312" w:cs="仿宋_GB2312" w:hint="eastAsia"/>
          <w:sz w:val="32"/>
          <w:szCs w:val="32"/>
        </w:rPr>
        <w:t>为确保</w:t>
      </w:r>
      <w:r>
        <w:rPr>
          <w:rFonts w:ascii="Times New Roman" w:eastAsia="仿宋_GB2312" w:cs="Times New Roman" w:hAnsi="Times New Roman"/>
          <w:sz w:val="32"/>
          <w:szCs w:val="32"/>
        </w:rPr>
        <w:t>2024年</w:t>
      </w:r>
      <w:r>
        <w:rPr>
          <w:rFonts w:ascii="仿宋_GB2312" w:eastAsia="仿宋_GB2312" w:cs="仿宋_GB2312" w:hint="eastAsia"/>
          <w:sz w:val="32"/>
          <w:szCs w:val="32"/>
        </w:rPr>
        <w:t>印刷复制质检活动有序开展，进一步明确巡查工作重点</w:t>
      </w:r>
      <w:r>
        <w:rPr>
          <w:rFonts w:ascii="仿宋_GB2312" w:eastAsia="仿宋_GB2312" w:cs="仿宋_GB2312" w:hint="eastAsia"/>
          <w:sz w:val="32"/>
          <w:szCs w:val="32"/>
          <w:lang w:eastAsia="zh-CN" w:bidi="ar-SA"/>
        </w:rPr>
        <w:t>、产品抽样规范、过程质量筛查和检测</w:t>
      </w:r>
      <w:r>
        <w:rPr>
          <w:rFonts w:ascii="仿宋_GB2312" w:eastAsia="仿宋_GB2312" w:cs="仿宋_GB2312" w:hint="eastAsia"/>
          <w:sz w:val="32"/>
          <w:szCs w:val="32"/>
          <w:lang w:eastAsia="zh-CN"/>
        </w:rPr>
        <w:t>判定</w:t>
      </w:r>
      <w:r>
        <w:rPr>
          <w:rFonts w:ascii="仿宋_GB2312" w:eastAsia="仿宋_GB2312" w:cs="仿宋_GB2312" w:hint="eastAsia"/>
          <w:sz w:val="32"/>
          <w:szCs w:val="32"/>
          <w:lang w:bidi="ar-SA"/>
        </w:rPr>
        <w:t>标准</w:t>
      </w:r>
      <w:r>
        <w:rPr>
          <w:rFonts w:ascii="仿宋_GB2312" w:eastAsia="仿宋_GB2312" w:cs="仿宋_GB2312" w:hint="eastAsia"/>
          <w:sz w:val="32"/>
          <w:szCs w:val="32"/>
          <w:lang w:eastAsia="zh-CN" w:bidi="ar-SA"/>
        </w:rPr>
        <w:t>等</w:t>
      </w:r>
      <w:r>
        <w:rPr>
          <w:rFonts w:ascii="仿宋_GB2312" w:eastAsia="仿宋_GB2312" w:cs="仿宋_GB2312" w:hint="eastAsia"/>
          <w:sz w:val="32"/>
          <w:szCs w:val="32"/>
        </w:rPr>
        <w:t>，按时保质完成工作任务，制定本方案。</w:t>
      </w:r>
    </w:p>
    <w:p>
      <w:pPr>
        <w:adjustRightInd w:val="0"/>
        <w:snapToGrid w:val="0"/>
        <w:spacing w:line="620" w:lineRule="exact"/>
        <w:ind w:firstLineChars="200" w:firstLine="640"/>
        <w:rPr>
          <w:rFonts w:ascii="黑体" w:eastAsia="黑体" w:cs="黑体" w:hint="eastAsia"/>
          <w:sz w:val="32"/>
          <w:szCs w:val="32"/>
          <w:lang w:eastAsia="zh-CN"/>
        </w:rPr>
      </w:pPr>
      <w:r>
        <w:rPr>
          <w:rFonts w:ascii="黑体" w:eastAsia="黑体" w:cs="黑体" w:hint="eastAsia"/>
          <w:sz w:val="32"/>
          <w:szCs w:val="32"/>
        </w:rPr>
        <w:t>一、巡查</w:t>
      </w:r>
      <w:r>
        <w:rPr>
          <w:rFonts w:ascii="黑体" w:eastAsia="黑体" w:cs="黑体" w:hint="eastAsia"/>
          <w:sz w:val="32"/>
          <w:szCs w:val="32"/>
          <w:lang w:eastAsia="zh-CN"/>
        </w:rPr>
        <w:t>工作重点</w:t>
      </w:r>
    </w:p>
    <w:p>
      <w:pPr>
        <w:adjustRightInd w:val="0"/>
        <w:snapToGrid w:val="0"/>
        <w:spacing w:line="6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覆盖重点主题出版产品、中小学重点教材出版印刷复制单位以及近三年出现印制批质量问题的出版印刷</w:t>
      </w:r>
      <w:r>
        <w:rPr>
          <w:rFonts w:ascii="仿宋_GB2312" w:eastAsia="仿宋_GB2312" w:cs="仿宋_GB2312" w:hint="eastAsia"/>
          <w:sz w:val="32"/>
          <w:szCs w:val="32"/>
          <w:lang w:eastAsia="zh-CN"/>
        </w:rPr>
        <w:t>单位</w:t>
      </w:r>
      <w:r>
        <w:rPr>
          <w:rFonts w:ascii="仿宋_GB2312" w:eastAsia="仿宋_GB2312" w:cs="仿宋_GB2312" w:hint="eastAsia"/>
          <w:sz w:val="32"/>
          <w:szCs w:val="32"/>
        </w:rPr>
        <w:t>，督促其坚持正确方向导向，树牢质量第一意识，健全质量管理制度，执行质量标准规范，落实质量主体责任。同时开展质量技术帮扶，协调解决实际困难。</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（一）巡查出版单位</w:t>
      </w:r>
    </w:p>
    <w:p>
      <w:pPr>
        <w:adjustRightInd w:val="0"/>
        <w:snapToGrid w:val="0"/>
        <w:spacing w:line="6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对印刷复制质量主体责任</w:t>
      </w:r>
      <w:r>
        <w:rPr>
          <w:rFonts w:ascii="仿宋_GB2312" w:eastAsia="仿宋_GB2312" w:cs="仿宋_GB2312"/>
          <w:sz w:val="32"/>
          <w:szCs w:val="32"/>
        </w:rPr>
        <w:t>是否落实到位：</w:t>
      </w:r>
      <w:r>
        <w:rPr>
          <w:rFonts w:ascii="仿宋_GB2312" w:eastAsia="仿宋_GB2312" w:cs="仿宋_GB2312" w:hint="eastAsia"/>
          <w:sz w:val="32"/>
          <w:szCs w:val="32"/>
        </w:rPr>
        <w:t>质量管理制度是否健全；在图文编排、装帧设计等方面是否考虑印刷复制生产工艺和标准要求；是否组织编辑设计和质检人员进行印刷复制质量专题培训；是否设有专职人员对成品进行抽检。对于近三年出现批质量问题的出版单位，还要</w:t>
      </w:r>
      <w:r>
        <w:rPr>
          <w:rFonts w:ascii="仿宋_GB2312" w:eastAsia="仿宋_GB2312" w:cs="仿宋_GB2312" w:hint="eastAsia"/>
          <w:sz w:val="32"/>
          <w:szCs w:val="32"/>
          <w:lang w:eastAsia="zh-CN"/>
        </w:rPr>
        <w:t>巡查</w:t>
      </w:r>
      <w:r>
        <w:rPr>
          <w:rFonts w:ascii="仿宋_GB2312" w:eastAsia="仿宋_GB2312" w:cs="仿宋_GB2312" w:hint="eastAsia"/>
          <w:sz w:val="32"/>
          <w:szCs w:val="32"/>
        </w:rPr>
        <w:t>问题整改落实情况。</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（二）巡查印刷企业</w:t>
      </w:r>
    </w:p>
    <w:p>
      <w:pPr>
        <w:adjustRightInd w:val="0"/>
        <w:snapToGrid w:val="0"/>
        <w:spacing w:line="6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对印刷质量生产责任是否</w:t>
      </w:r>
      <w:r>
        <w:rPr>
          <w:rFonts w:ascii="仿宋_GB2312" w:eastAsia="仿宋_GB2312" w:cs="仿宋_GB2312" w:hint="eastAsia"/>
          <w:sz w:val="32"/>
          <w:szCs w:val="32"/>
          <w:lang w:eastAsia="zh-CN"/>
        </w:rPr>
        <w:t>落实到位：</w:t>
      </w:r>
      <w:r>
        <w:rPr>
          <w:rFonts w:ascii="仿宋_GB2312" w:eastAsia="仿宋_GB2312" w:cs="仿宋_GB2312" w:hint="eastAsia"/>
          <w:sz w:val="32"/>
          <w:szCs w:val="32"/>
        </w:rPr>
        <w:t>质量管理制度是否健全；印前是否查验文件内容，核查设计与印刷工艺的适配性；印中是否采用质量监控系统设备；印后是否采用合适的工艺、材料；是否严格执行生产标准；是否设有专职人员对成品进行抽检。对于近三年出现批质量问题的印刷单位，还要</w:t>
      </w:r>
      <w:r>
        <w:rPr>
          <w:rFonts w:ascii="仿宋_GB2312" w:eastAsia="仿宋_GB2312" w:cs="仿宋_GB2312" w:hint="eastAsia"/>
          <w:sz w:val="32"/>
          <w:szCs w:val="32"/>
          <w:lang w:eastAsia="zh-CN"/>
        </w:rPr>
        <w:t>巡查</w:t>
      </w:r>
      <w:r>
        <w:rPr>
          <w:rFonts w:ascii="仿宋_GB2312" w:eastAsia="仿宋_GB2312" w:cs="仿宋_GB2312" w:hint="eastAsia"/>
          <w:sz w:val="32"/>
          <w:szCs w:val="32"/>
        </w:rPr>
        <w:t>问题整改落实情况。对成品抽查时，要重点关注跨页接版、开胶散页等问题。</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（三）巡查光盘复制企业</w:t>
      </w:r>
    </w:p>
    <w:p>
      <w:pPr>
        <w:adjustRightInd w:val="0"/>
        <w:snapToGrid w:val="0"/>
        <w:spacing w:line="62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对复制质量生产责任是否</w:t>
      </w:r>
      <w:r>
        <w:rPr>
          <w:rFonts w:ascii="仿宋_GB2312" w:eastAsia="仿宋_GB2312" w:cs="仿宋_GB2312" w:hint="eastAsia"/>
          <w:sz w:val="32"/>
          <w:szCs w:val="32"/>
          <w:lang w:eastAsia="zh-CN"/>
        </w:rPr>
        <w:t>落实到位：</w:t>
      </w:r>
      <w:r>
        <w:rPr>
          <w:rFonts w:ascii="仿宋_GB2312" w:eastAsia="仿宋_GB2312" w:cs="仿宋_GB2312" w:hint="eastAsia"/>
          <w:sz w:val="32"/>
          <w:szCs w:val="32"/>
        </w:rPr>
        <w:t>是否核对原始文件格式、大小、分辨率等要素；是否安装线上质量检测系统；盘面印刷颜色是否准确还原、真实再现；是否对成品机械参数、光电参数进行检测。对成品抽查时，要重点关注检测报告中关键参数是否合格。</w:t>
      </w:r>
    </w:p>
    <w:p>
      <w:pPr>
        <w:adjustRightInd w:val="0"/>
        <w:snapToGrid w:val="0"/>
        <w:spacing w:line="620" w:lineRule="exact"/>
        <w:ind w:firstLineChars="200" w:firstLine="640"/>
        <w:rPr>
          <w:rFonts w:ascii="黑体" w:eastAsia="黑体" w:cs="黑体"/>
          <w:sz w:val="32"/>
          <w:szCs w:val="32"/>
        </w:rPr>
      </w:pPr>
      <w:r>
        <w:rPr>
          <w:rFonts w:ascii="黑体" w:eastAsia="黑体" w:cs="黑体" w:hint="eastAsia"/>
          <w:sz w:val="32"/>
          <w:szCs w:val="32"/>
        </w:rPr>
        <w:t>二、产品抽样规范</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（一）抽样数量</w:t>
      </w:r>
    </w:p>
    <w:p>
      <w:pPr>
        <w:adjustRightInd w:val="0"/>
        <w:snapToGrid w:val="0"/>
        <w:spacing w:line="620" w:lineRule="exact"/>
        <w:ind w:firstLineChars="200" w:firstLine="640"/>
        <w:rPr>
          <w:rFonts w:ascii="Times New Roman" w:eastAsia="仿宋_GB2312" w:cs="Times New Roman" w:hAnsi="Times New Roman"/>
          <w:sz w:val="32"/>
          <w:szCs w:val="32"/>
        </w:rPr>
      </w:pPr>
      <w:r>
        <w:rPr>
          <w:rFonts w:ascii="仿宋_GB2312" w:eastAsia="仿宋_GB2312" w:cs="仿宋_GB2312" w:hint="eastAsia"/>
          <w:sz w:val="32"/>
          <w:szCs w:val="32"/>
        </w:rPr>
        <w:t>国家新闻出版署对</w:t>
      </w:r>
      <w:r>
        <w:rPr>
          <w:rFonts w:ascii="Times New Roman" w:eastAsia="仿宋_GB2312" w:cs="Times New Roman" w:hAnsi="Times New Roman"/>
          <w:sz w:val="32"/>
          <w:szCs w:val="32"/>
          <w:lang w:eastAsia="zh-CN" w:bidi="ar-SA"/>
        </w:rPr>
        <w:t>不少于</w:t>
      </w:r>
      <w:r>
        <w:rPr>
          <w:rFonts w:ascii="Times New Roman" w:eastAsia="仿宋_GB2312" w:cs="Times New Roman" w:hAnsi="Times New Roman"/>
          <w:sz w:val="32"/>
          <w:szCs w:val="32"/>
        </w:rPr>
        <w:t>8个地区的220种</w:t>
      </w:r>
      <w:r>
        <w:rPr>
          <w:rFonts w:ascii="Times New Roman" w:eastAsia="仿宋_GB2312" w:cs="Times New Roman" w:hAnsi="Times New Roman"/>
          <w:sz w:val="32"/>
          <w:szCs w:val="32"/>
          <w:lang w:eastAsia="zh-CN"/>
        </w:rPr>
        <w:t>出版产品</w:t>
      </w:r>
      <w:r>
        <w:rPr>
          <w:rFonts w:ascii="Times New Roman" w:eastAsia="仿宋_GB2312" w:cs="Times New Roman" w:hAnsi="Times New Roman"/>
          <w:sz w:val="32"/>
          <w:szCs w:val="32"/>
        </w:rPr>
        <w:t>进行抽样，其中主题出版产品数量不少于120种；各地区对上述</w:t>
      </w:r>
      <w:r>
        <w:rPr>
          <w:rFonts w:ascii="Times New Roman" w:eastAsia="仿宋_GB2312" w:cs="Times New Roman" w:hAnsi="Times New Roman"/>
          <w:sz w:val="32"/>
          <w:szCs w:val="32"/>
          <w:lang w:eastAsia="zh-CN"/>
        </w:rPr>
        <w:t>出版</w:t>
      </w:r>
      <w:r>
        <w:rPr>
          <w:rFonts w:ascii="Times New Roman" w:eastAsia="仿宋_GB2312" w:cs="Times New Roman" w:hAnsi="Times New Roman"/>
          <w:sz w:val="32"/>
          <w:szCs w:val="32"/>
        </w:rPr>
        <w:t>产品进行抽样，辖区内出版单位数量低于10家的地区，原则上要全覆盖，其他地区结合工作实际，确定抽样覆盖范围。</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国家新闻出版署对</w:t>
      </w:r>
      <w:r>
        <w:rPr>
          <w:rFonts w:ascii="Times New Roman" w:eastAsia="仿宋_GB2312" w:cs="Times New Roman" w:hAnsi="Times New Roman"/>
          <w:sz w:val="32"/>
          <w:szCs w:val="32"/>
          <w:lang w:eastAsia="zh-CN" w:bidi="ar-SA"/>
        </w:rPr>
        <w:t>不少于</w:t>
      </w:r>
      <w:r>
        <w:rPr>
          <w:rFonts w:ascii="Times New Roman" w:eastAsia="仿宋_GB2312" w:cs="Times New Roman" w:hAnsi="Times New Roman"/>
          <w:sz w:val="32"/>
          <w:szCs w:val="32"/>
        </w:rPr>
        <w:t>5个地区的21种中小学重点教材印制和环保质量进行抽样；各地区对本地区承印的21种中小学重点教材印制和环保质量进行抽样，同时兼顾其他品种</w:t>
      </w:r>
      <w:r>
        <w:rPr>
          <w:rFonts w:ascii="仿宋_GB2312" w:eastAsia="仿宋_GB2312" w:cs="仿宋_GB2312" w:hint="eastAsia"/>
          <w:sz w:val="32"/>
          <w:szCs w:val="32"/>
        </w:rPr>
        <w:t>中小学教材抽样。</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（二）抽样原则和地点</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1</w:t>
      </w:r>
      <w:r>
        <w:rPr>
          <w:rFonts w:ascii="仿宋_GB2312" w:eastAsia="仿宋_GB2312" w:cs="仿宋_GB2312" w:hint="eastAsia"/>
          <w:sz w:val="32"/>
          <w:szCs w:val="32"/>
        </w:rPr>
        <w:t>.抽样原则。出版产品印制质量应按照批质量抽样规范抽取，如果不具备批质量抽样条件，也可进行单件质量抽样；复制、环保质量抽样，应按照单件质量抽样规范抽取。</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2</w:t>
      </w:r>
      <w:r>
        <w:rPr>
          <w:rFonts w:ascii="仿宋_GB2312" w:eastAsia="仿宋_GB2312" w:cs="仿宋_GB2312" w:hint="eastAsia"/>
          <w:sz w:val="32"/>
          <w:szCs w:val="32"/>
        </w:rPr>
        <w:t>.抽样地点。主题出版产品抽样地点以出版单位成品库房为主；中小学重点教材应优先在承印企业进行抽样，其次在发行单位库房进行抽样；</w:t>
      </w:r>
      <w:r>
        <w:rPr>
          <w:rFonts w:ascii="仿宋_GB2312" w:eastAsia="仿宋_GB2312" w:cs="仿宋_GB2312" w:hint="eastAsia"/>
          <w:sz w:val="32"/>
          <w:szCs w:val="32"/>
          <w:lang w:eastAsia="zh-CN"/>
        </w:rPr>
        <w:t>热点领域出版产品根据实际情况可</w:t>
      </w:r>
      <w:r>
        <w:rPr>
          <w:rFonts w:ascii="仿宋_GB2312" w:eastAsia="仿宋_GB2312" w:cs="仿宋_GB2312" w:hint="eastAsia"/>
          <w:sz w:val="32"/>
          <w:szCs w:val="32"/>
        </w:rPr>
        <w:t>在出版物市场（含电商销售平台）抽样。</w:t>
      </w:r>
    </w:p>
    <w:p>
      <w:pPr>
        <w:adjustRightInd w:val="0"/>
        <w:snapToGrid w:val="0"/>
        <w:spacing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（三）抽样规范</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1</w:t>
      </w:r>
      <w:r>
        <w:rPr>
          <w:rFonts w:ascii="仿宋_GB2312" w:eastAsia="仿宋_GB2312" w:cs="仿宋_GB2312" w:hint="eastAsia"/>
          <w:sz w:val="32"/>
          <w:szCs w:val="32"/>
        </w:rPr>
        <w:t xml:space="preserve">.批质量抽样规范。印制批质量抽样数量依据《纸质印刷产品印制质量检验规范 </w:t>
      </w:r>
      <w:r>
        <w:rPr>
          <w:rFonts w:ascii="Times New Roman" w:eastAsia="仿宋_GB2312" w:cs="Times New Roman" w:hAnsi="Times New Roman"/>
          <w:sz w:val="32"/>
          <w:szCs w:val="32"/>
        </w:rPr>
        <w:t>第2</w:t>
      </w:r>
      <w:r>
        <w:rPr>
          <w:rFonts w:ascii="仿宋_GB2312" w:eastAsia="仿宋_GB2312" w:cs="仿宋_GB2312" w:hint="eastAsia"/>
          <w:sz w:val="32"/>
          <w:szCs w:val="32"/>
        </w:rPr>
        <w:t>部分：抽样判定规则》（</w:t>
      </w:r>
      <w:r>
        <w:rPr>
          <w:rFonts w:ascii="Times New Roman" w:eastAsia="仿宋_GB2312" w:cs="Times New Roman" w:hAnsi="Times New Roman"/>
          <w:sz w:val="32"/>
          <w:szCs w:val="32"/>
        </w:rPr>
        <w:t>GB/T 34053.2-2017</w:t>
      </w:r>
      <w:r>
        <w:rPr>
          <w:rFonts w:ascii="仿宋_GB2312" w:eastAsia="仿宋_GB2312" w:cs="仿宋_GB2312" w:hint="eastAsia"/>
          <w:sz w:val="32"/>
          <w:szCs w:val="32"/>
        </w:rPr>
        <w:t>）确定。每个品种的样本抽取数量见表1。</w:t>
      </w:r>
    </w:p>
    <w:p>
      <w:pPr>
        <w:spacing w:line="600" w:lineRule="exact"/>
        <w:jc w:val="center"/>
        <w:rPr>
          <w:rFonts w:ascii="黑体" w:eastAsia="黑体"/>
          <w:sz w:val="24"/>
        </w:rPr>
      </w:pPr>
      <w:r>
        <w:rPr>
          <w:rFonts w:ascii="黑体" w:eastAsia="黑体" w:hint="eastAsia"/>
          <w:sz w:val="24"/>
        </w:rPr>
        <w:t>表1 库存量与样本抽取数量对应表</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53"/>
        <w:gridCol w:w="1290"/>
        <w:gridCol w:w="1200"/>
        <w:gridCol w:w="1333"/>
        <w:gridCol w:w="1483"/>
        <w:gridCol w:w="1670"/>
      </w:tblGrid>
      <w:tr>
        <w:trPr>
          <w:trHeight w:val="454"/>
        </w:trPr>
        <w:tc>
          <w:tcPr>
            <w:tcW w:w="1353" w:type="dxa"/>
            <w:vMerge w:val="restart"/>
            <w:vAlign w:val="center"/>
          </w:tcPr>
          <w:p>
            <w:pPr>
              <w:jc w:val="center"/>
              <w:rPr>
                <w:rFonts w:ascii="黑体" w:eastAsia="黑体"/>
                <w:sz w:val="22"/>
                <w:szCs w:val="22"/>
              </w:rPr>
            </w:pPr>
            <w:r>
              <w:rPr>
                <w:rFonts w:ascii="黑体" w:eastAsia="黑体" w:hint="eastAsia"/>
                <w:sz w:val="22"/>
                <w:szCs w:val="22"/>
              </w:rPr>
              <w:t>图书期刊</w:t>
            </w:r>
          </w:p>
        </w:tc>
        <w:tc>
          <w:tcPr>
            <w:tcW w:w="1290" w:type="dxa"/>
            <w:vAlign w:val="center"/>
          </w:tcPr>
          <w:p>
            <w:pPr>
              <w:jc w:val="center"/>
              <w:rPr>
                <w:rFonts w:ascii="黑体" w:eastAsia="黑体"/>
                <w:sz w:val="22"/>
                <w:szCs w:val="22"/>
              </w:rPr>
            </w:pPr>
            <w:r>
              <w:rPr>
                <w:rFonts w:ascii="黑体" w:eastAsia="黑体" w:hint="eastAsia"/>
                <w:sz w:val="22"/>
                <w:szCs w:val="22"/>
              </w:rPr>
              <w:t>库存量/册</w:t>
            </w:r>
          </w:p>
        </w:tc>
        <w:tc>
          <w:tcPr>
            <w:tcW w:w="1200" w:type="dxa"/>
            <w:vAlign w:val="center"/>
          </w:tcPr>
          <w:p>
            <w:pPr>
              <w:jc w:val="center"/>
              <w:rPr>
                <w:rFonts w:ascii="宋体"/>
                <w:sz w:val="22"/>
                <w:szCs w:val="22"/>
              </w:rPr>
            </w:pPr>
            <w:r>
              <w:rPr>
                <w:rFonts w:ascii="宋体" w:hint="eastAsia"/>
                <w:sz w:val="22"/>
                <w:szCs w:val="22"/>
              </w:rPr>
              <w:t>151～500</w:t>
            </w:r>
          </w:p>
        </w:tc>
        <w:tc>
          <w:tcPr>
            <w:tcW w:w="1333" w:type="dxa"/>
            <w:vAlign w:val="center"/>
          </w:tcPr>
          <w:p>
            <w:pPr>
              <w:jc w:val="center"/>
              <w:rPr>
                <w:rFonts w:ascii="宋体"/>
                <w:sz w:val="22"/>
                <w:szCs w:val="22"/>
              </w:rPr>
            </w:pPr>
            <w:r>
              <w:rPr>
                <w:rFonts w:ascii="宋体" w:hint="eastAsia"/>
                <w:sz w:val="22"/>
                <w:szCs w:val="22"/>
              </w:rPr>
              <w:t>501～1200</w:t>
            </w:r>
          </w:p>
        </w:tc>
        <w:tc>
          <w:tcPr>
            <w:tcW w:w="1483" w:type="dxa"/>
            <w:vAlign w:val="center"/>
          </w:tcPr>
          <w:p>
            <w:pPr>
              <w:jc w:val="center"/>
              <w:rPr>
                <w:rFonts w:ascii="宋体"/>
                <w:sz w:val="22"/>
                <w:szCs w:val="22"/>
              </w:rPr>
            </w:pPr>
            <w:r>
              <w:rPr>
                <w:rFonts w:ascii="宋体" w:hint="eastAsia"/>
                <w:sz w:val="22"/>
                <w:szCs w:val="22"/>
              </w:rPr>
              <w:t>1201～10000</w:t>
            </w:r>
          </w:p>
        </w:tc>
        <w:tc>
          <w:tcPr>
            <w:tcW w:w="1670" w:type="dxa"/>
            <w:vAlign w:val="center"/>
          </w:tcPr>
          <w:p>
            <w:pPr>
              <w:jc w:val="center"/>
              <w:rPr>
                <w:rFonts w:ascii="宋体"/>
                <w:sz w:val="22"/>
                <w:szCs w:val="22"/>
              </w:rPr>
            </w:pPr>
            <w:r>
              <w:rPr>
                <w:rFonts w:ascii="宋体" w:hint="eastAsia"/>
                <w:sz w:val="22"/>
                <w:szCs w:val="22"/>
              </w:rPr>
              <w:t>10001～35000</w:t>
            </w:r>
          </w:p>
        </w:tc>
      </w:tr>
      <w:tr>
        <w:trPr>
          <w:trHeight w:val="454"/>
        </w:trPr>
        <w:tc>
          <w:tcPr>
            <w:tcW w:w="1353" w:type="dxa"/>
            <w:vMerge/>
            <w:vAlign w:val="center"/>
          </w:tcPr>
          <w:p/>
        </w:tc>
        <w:tc>
          <w:tcPr>
            <w:tcW w:w="1290" w:type="dxa"/>
            <w:vAlign w:val="center"/>
          </w:tcPr>
          <w:p>
            <w:pPr>
              <w:jc w:val="center"/>
              <w:rPr>
                <w:rFonts w:ascii="黑体" w:eastAsia="黑体"/>
                <w:sz w:val="22"/>
                <w:szCs w:val="22"/>
              </w:rPr>
            </w:pPr>
            <w:r>
              <w:rPr>
                <w:rFonts w:ascii="黑体" w:eastAsia="黑体" w:hint="eastAsia"/>
                <w:sz w:val="22"/>
                <w:szCs w:val="22"/>
              </w:rPr>
              <w:t>样本量/册</w:t>
            </w:r>
          </w:p>
        </w:tc>
        <w:tc>
          <w:tcPr>
            <w:tcW w:w="1200" w:type="dxa"/>
            <w:vAlign w:val="center"/>
          </w:tcPr>
          <w:p>
            <w:pPr>
              <w:jc w:val="center"/>
              <w:rPr>
                <w:rFonts w:ascii="宋体"/>
                <w:sz w:val="22"/>
                <w:szCs w:val="22"/>
              </w:rPr>
            </w:pPr>
            <w:r>
              <w:rPr>
                <w:rFonts w:ascii="宋体" w:hint="eastAsia"/>
                <w:sz w:val="22"/>
                <w:szCs w:val="22"/>
              </w:rPr>
              <w:t>13</w:t>
            </w:r>
          </w:p>
        </w:tc>
        <w:tc>
          <w:tcPr>
            <w:tcW w:w="1333" w:type="dxa"/>
            <w:vAlign w:val="center"/>
          </w:tcPr>
          <w:p>
            <w:pPr>
              <w:jc w:val="center"/>
              <w:rPr>
                <w:rFonts w:ascii="宋体"/>
                <w:sz w:val="22"/>
                <w:szCs w:val="22"/>
              </w:rPr>
            </w:pPr>
            <w:r>
              <w:rPr>
                <w:rFonts w:ascii="宋体" w:hint="eastAsia"/>
                <w:sz w:val="22"/>
                <w:szCs w:val="22"/>
              </w:rPr>
              <w:t>20</w:t>
            </w:r>
          </w:p>
        </w:tc>
        <w:tc>
          <w:tcPr>
            <w:tcW w:w="1483" w:type="dxa"/>
            <w:vAlign w:val="center"/>
          </w:tcPr>
          <w:p>
            <w:pPr>
              <w:jc w:val="center"/>
              <w:rPr>
                <w:rFonts w:ascii="宋体"/>
                <w:sz w:val="22"/>
                <w:szCs w:val="22"/>
              </w:rPr>
            </w:pPr>
            <w:r>
              <w:rPr>
                <w:rFonts w:ascii="宋体" w:hint="eastAsia"/>
                <w:sz w:val="22"/>
                <w:szCs w:val="22"/>
              </w:rPr>
              <w:t>32</w:t>
            </w:r>
          </w:p>
        </w:tc>
        <w:tc>
          <w:tcPr>
            <w:tcW w:w="1670" w:type="dxa"/>
            <w:vAlign w:val="center"/>
          </w:tcPr>
          <w:p>
            <w:pPr>
              <w:jc w:val="center"/>
              <w:rPr>
                <w:rFonts w:ascii="宋体"/>
                <w:sz w:val="22"/>
                <w:szCs w:val="22"/>
              </w:rPr>
            </w:pPr>
            <w:r>
              <w:rPr>
                <w:rFonts w:ascii="宋体" w:hint="eastAsia"/>
                <w:sz w:val="22"/>
                <w:szCs w:val="22"/>
              </w:rPr>
              <w:t>50</w:t>
            </w:r>
          </w:p>
        </w:tc>
      </w:tr>
      <w:tr>
        <w:trPr>
          <w:trHeight w:val="454"/>
        </w:trPr>
        <w:tc>
          <w:tcPr>
            <w:tcW w:w="1353" w:type="dxa"/>
            <w:vMerge w:val="restart"/>
            <w:vAlign w:val="center"/>
          </w:tcPr>
          <w:p>
            <w:pPr>
              <w:jc w:val="center"/>
              <w:rPr>
                <w:rFonts w:ascii="黑体" w:eastAsia="黑体"/>
                <w:sz w:val="22"/>
                <w:szCs w:val="22"/>
              </w:rPr>
            </w:pPr>
            <w:r>
              <w:rPr>
                <w:rFonts w:ascii="黑体" w:eastAsia="黑体" w:hint="eastAsia"/>
                <w:sz w:val="22"/>
                <w:szCs w:val="22"/>
              </w:rPr>
              <w:t>教材教辅</w:t>
            </w:r>
          </w:p>
        </w:tc>
        <w:tc>
          <w:tcPr>
            <w:tcW w:w="1290" w:type="dxa"/>
            <w:vAlign w:val="center"/>
          </w:tcPr>
          <w:p>
            <w:pPr>
              <w:jc w:val="center"/>
              <w:rPr>
                <w:rFonts w:ascii="黑体" w:eastAsia="黑体"/>
                <w:sz w:val="22"/>
                <w:szCs w:val="22"/>
              </w:rPr>
            </w:pPr>
            <w:r>
              <w:rPr>
                <w:rFonts w:ascii="黑体" w:eastAsia="黑体" w:hint="eastAsia"/>
                <w:sz w:val="22"/>
                <w:szCs w:val="22"/>
              </w:rPr>
              <w:t>库存量/册</w:t>
            </w:r>
          </w:p>
        </w:tc>
        <w:tc>
          <w:tcPr>
            <w:tcW w:w="1200" w:type="dxa"/>
            <w:vAlign w:val="center"/>
          </w:tcPr>
          <w:p>
            <w:pPr>
              <w:jc w:val="center"/>
              <w:rPr>
                <w:rFonts w:ascii="宋体"/>
                <w:sz w:val="22"/>
                <w:szCs w:val="22"/>
              </w:rPr>
            </w:pPr>
            <w:r>
              <w:rPr>
                <w:rFonts w:ascii="宋体" w:hint="eastAsia"/>
                <w:sz w:val="22"/>
                <w:szCs w:val="22"/>
              </w:rPr>
              <w:t>151～500</w:t>
            </w:r>
          </w:p>
        </w:tc>
        <w:tc>
          <w:tcPr>
            <w:tcW w:w="1333" w:type="dxa"/>
            <w:vAlign w:val="center"/>
          </w:tcPr>
          <w:p>
            <w:pPr>
              <w:jc w:val="center"/>
              <w:rPr>
                <w:rFonts w:ascii="宋体"/>
                <w:sz w:val="22"/>
                <w:szCs w:val="22"/>
              </w:rPr>
            </w:pPr>
            <w:r>
              <w:rPr>
                <w:rFonts w:ascii="宋体" w:hint="eastAsia"/>
                <w:sz w:val="22"/>
                <w:szCs w:val="22"/>
              </w:rPr>
              <w:t>501～3200</w:t>
            </w:r>
          </w:p>
        </w:tc>
        <w:tc>
          <w:tcPr>
            <w:tcW w:w="1483" w:type="dxa"/>
            <w:vAlign w:val="center"/>
          </w:tcPr>
          <w:p>
            <w:pPr>
              <w:jc w:val="center"/>
              <w:rPr>
                <w:rFonts w:ascii="宋体"/>
                <w:sz w:val="22"/>
                <w:szCs w:val="22"/>
              </w:rPr>
            </w:pPr>
            <w:r>
              <w:rPr>
                <w:rFonts w:ascii="宋体" w:hint="eastAsia"/>
                <w:sz w:val="22"/>
                <w:szCs w:val="22"/>
              </w:rPr>
              <w:t>3201～35000</w:t>
            </w:r>
          </w:p>
        </w:tc>
        <w:tc>
          <w:tcPr>
            <w:tcW w:w="1670" w:type="dxa"/>
            <w:vAlign w:val="center"/>
          </w:tcPr>
          <w:p>
            <w:pPr>
              <w:jc w:val="center"/>
              <w:rPr>
                <w:rFonts w:ascii="宋体"/>
                <w:sz w:val="22"/>
                <w:szCs w:val="22"/>
              </w:rPr>
            </w:pPr>
            <w:r>
              <w:rPr>
                <w:rFonts w:ascii="宋体" w:hint="eastAsia"/>
                <w:sz w:val="22"/>
                <w:szCs w:val="22"/>
              </w:rPr>
              <w:t>35001～500000</w:t>
            </w:r>
          </w:p>
        </w:tc>
      </w:tr>
      <w:tr>
        <w:trPr>
          <w:trHeight w:val="454"/>
        </w:trPr>
        <w:tc>
          <w:tcPr>
            <w:tcW w:w="1353" w:type="dxa"/>
            <w:vMerge/>
            <w:vAlign w:val="center"/>
          </w:tcPr>
          <w:p/>
        </w:tc>
        <w:tc>
          <w:tcPr>
            <w:tcW w:w="1290" w:type="dxa"/>
            <w:vAlign w:val="center"/>
          </w:tcPr>
          <w:p>
            <w:pPr>
              <w:jc w:val="center"/>
              <w:rPr>
                <w:rFonts w:ascii="黑体" w:eastAsia="黑体"/>
                <w:sz w:val="22"/>
                <w:szCs w:val="22"/>
              </w:rPr>
            </w:pPr>
            <w:r>
              <w:rPr>
                <w:rFonts w:ascii="黑体" w:eastAsia="黑体" w:hint="eastAsia"/>
                <w:sz w:val="22"/>
                <w:szCs w:val="22"/>
              </w:rPr>
              <w:t>样本量/册</w:t>
            </w:r>
          </w:p>
        </w:tc>
        <w:tc>
          <w:tcPr>
            <w:tcW w:w="1200" w:type="dxa"/>
            <w:vAlign w:val="center"/>
          </w:tcPr>
          <w:p>
            <w:pPr>
              <w:jc w:val="center"/>
              <w:rPr>
                <w:rFonts w:ascii="宋体"/>
                <w:sz w:val="22"/>
                <w:szCs w:val="22"/>
              </w:rPr>
            </w:pPr>
            <w:r>
              <w:rPr>
                <w:rFonts w:ascii="宋体" w:hint="eastAsia"/>
                <w:sz w:val="22"/>
                <w:szCs w:val="22"/>
              </w:rPr>
              <w:t>8</w:t>
            </w:r>
          </w:p>
        </w:tc>
        <w:tc>
          <w:tcPr>
            <w:tcW w:w="1333" w:type="dxa"/>
            <w:vAlign w:val="center"/>
          </w:tcPr>
          <w:p>
            <w:pPr>
              <w:jc w:val="center"/>
              <w:rPr>
                <w:rFonts w:ascii="宋体"/>
                <w:sz w:val="22"/>
                <w:szCs w:val="22"/>
              </w:rPr>
            </w:pPr>
            <w:r>
              <w:rPr>
                <w:rFonts w:ascii="宋体" w:hint="eastAsia"/>
                <w:sz w:val="22"/>
                <w:szCs w:val="22"/>
              </w:rPr>
              <w:t>13</w:t>
            </w:r>
          </w:p>
        </w:tc>
        <w:tc>
          <w:tcPr>
            <w:tcW w:w="1483" w:type="dxa"/>
            <w:vAlign w:val="center"/>
          </w:tcPr>
          <w:p>
            <w:pPr>
              <w:jc w:val="center"/>
              <w:rPr>
                <w:rFonts w:ascii="宋体"/>
                <w:sz w:val="22"/>
                <w:szCs w:val="22"/>
              </w:rPr>
            </w:pPr>
            <w:r>
              <w:rPr>
                <w:rFonts w:ascii="宋体" w:hint="eastAsia"/>
                <w:sz w:val="22"/>
                <w:szCs w:val="22"/>
              </w:rPr>
              <w:t>20</w:t>
            </w:r>
          </w:p>
        </w:tc>
        <w:tc>
          <w:tcPr>
            <w:tcW w:w="1670" w:type="dxa"/>
            <w:vAlign w:val="center"/>
          </w:tcPr>
          <w:p>
            <w:pPr>
              <w:jc w:val="center"/>
              <w:rPr>
                <w:rFonts w:ascii="宋体"/>
                <w:sz w:val="22"/>
                <w:szCs w:val="22"/>
              </w:rPr>
            </w:pPr>
            <w:r>
              <w:rPr>
                <w:rFonts w:ascii="宋体" w:hint="eastAsia"/>
                <w:sz w:val="22"/>
                <w:szCs w:val="22"/>
              </w:rPr>
              <w:t>32</w:t>
            </w:r>
          </w:p>
        </w:tc>
      </w:tr>
      <w:tr>
        <w:trPr>
          <w:trHeight w:val="454"/>
        </w:trPr>
        <w:tc>
          <w:tcPr>
            <w:tcW w:w="1353" w:type="dxa"/>
            <w:vMerge w:val="restart"/>
            <w:vAlign w:val="center"/>
          </w:tcPr>
          <w:p>
            <w:pPr>
              <w:jc w:val="center"/>
              <w:rPr>
                <w:rFonts w:ascii="黑体" w:eastAsia="黑体"/>
                <w:sz w:val="22"/>
                <w:szCs w:val="22"/>
              </w:rPr>
            </w:pPr>
            <w:r>
              <w:rPr>
                <w:rFonts w:ascii="黑体" w:eastAsia="黑体" w:hint="eastAsia"/>
                <w:sz w:val="22"/>
                <w:szCs w:val="22"/>
              </w:rPr>
              <w:t>报纸</w:t>
            </w:r>
          </w:p>
        </w:tc>
        <w:tc>
          <w:tcPr>
            <w:tcW w:w="1290" w:type="dxa"/>
            <w:vAlign w:val="center"/>
          </w:tcPr>
          <w:p>
            <w:pPr>
              <w:jc w:val="center"/>
              <w:rPr>
                <w:rFonts w:ascii="黑体" w:eastAsia="黑体"/>
                <w:sz w:val="22"/>
                <w:szCs w:val="22"/>
              </w:rPr>
            </w:pPr>
            <w:r>
              <w:rPr>
                <w:rFonts w:ascii="黑体" w:eastAsia="黑体" w:hint="eastAsia"/>
                <w:sz w:val="22"/>
                <w:szCs w:val="22"/>
              </w:rPr>
              <w:t>库存量/份</w:t>
            </w:r>
          </w:p>
        </w:tc>
        <w:tc>
          <w:tcPr>
            <w:tcW w:w="1200" w:type="dxa"/>
            <w:vAlign w:val="center"/>
          </w:tcPr>
          <w:p>
            <w:pPr>
              <w:jc w:val="center"/>
              <w:rPr>
                <w:rFonts w:ascii="宋体"/>
                <w:sz w:val="22"/>
                <w:szCs w:val="22"/>
              </w:rPr>
            </w:pPr>
            <w:r>
              <w:rPr>
                <w:rFonts w:ascii="宋体" w:hint="eastAsia"/>
                <w:sz w:val="22"/>
                <w:szCs w:val="22"/>
              </w:rPr>
              <w:t>151～500</w:t>
            </w:r>
          </w:p>
        </w:tc>
        <w:tc>
          <w:tcPr>
            <w:tcW w:w="1333" w:type="dxa"/>
            <w:vAlign w:val="center"/>
          </w:tcPr>
          <w:p>
            <w:pPr>
              <w:jc w:val="center"/>
              <w:rPr>
                <w:rFonts w:ascii="宋体"/>
                <w:sz w:val="22"/>
                <w:szCs w:val="22"/>
              </w:rPr>
            </w:pPr>
            <w:r>
              <w:rPr>
                <w:rFonts w:ascii="宋体" w:hint="eastAsia"/>
                <w:sz w:val="22"/>
                <w:szCs w:val="22"/>
              </w:rPr>
              <w:t>501～35000</w:t>
            </w:r>
          </w:p>
        </w:tc>
        <w:tc>
          <w:tcPr>
            <w:tcW w:w="1483" w:type="dxa"/>
            <w:vAlign w:val="center"/>
          </w:tcPr>
          <w:p>
            <w:pPr>
              <w:jc w:val="center"/>
              <w:rPr>
                <w:rFonts w:ascii="宋体"/>
                <w:sz w:val="22"/>
                <w:szCs w:val="22"/>
              </w:rPr>
            </w:pPr>
            <w:r>
              <w:rPr>
                <w:rFonts w:ascii="宋体" w:hint="eastAsia"/>
                <w:sz w:val="22"/>
                <w:szCs w:val="22"/>
              </w:rPr>
              <w:t>≥35001</w:t>
            </w:r>
          </w:p>
        </w:tc>
        <w:tc>
          <w:tcPr>
            <w:tcW w:w="1670" w:type="dxa"/>
            <w:vAlign w:val="center"/>
          </w:tcPr>
          <w:p>
            <w:pPr>
              <w:jc w:val="center"/>
              <w:rPr>
                <w:rFonts w:ascii="宋体"/>
                <w:sz w:val="22"/>
                <w:szCs w:val="22"/>
              </w:rPr>
            </w:pPr>
            <w:r>
              <w:rPr>
                <w:rFonts w:ascii="宋体" w:hint="eastAsia"/>
                <w:sz w:val="22"/>
                <w:szCs w:val="22"/>
              </w:rPr>
              <w:t>/</w:t>
            </w:r>
          </w:p>
        </w:tc>
      </w:tr>
      <w:tr>
        <w:trPr>
          <w:trHeight w:val="454"/>
        </w:trPr>
        <w:tc>
          <w:tcPr>
            <w:tcW w:w="1353" w:type="dxa"/>
            <w:vMerge/>
            <w:vAlign w:val="center"/>
          </w:tcPr>
          <w:p/>
        </w:tc>
        <w:tc>
          <w:tcPr>
            <w:tcW w:w="1290" w:type="dxa"/>
            <w:vAlign w:val="center"/>
          </w:tcPr>
          <w:p>
            <w:pPr>
              <w:jc w:val="center"/>
              <w:rPr>
                <w:rFonts w:ascii="黑体" w:eastAsia="黑体"/>
                <w:sz w:val="22"/>
                <w:szCs w:val="22"/>
              </w:rPr>
            </w:pPr>
            <w:r>
              <w:rPr>
                <w:rFonts w:ascii="黑体" w:eastAsia="黑体" w:hint="eastAsia"/>
                <w:sz w:val="22"/>
                <w:szCs w:val="22"/>
              </w:rPr>
              <w:t>样本量/份</w:t>
            </w:r>
          </w:p>
        </w:tc>
        <w:tc>
          <w:tcPr>
            <w:tcW w:w="1200" w:type="dxa"/>
            <w:vAlign w:val="center"/>
          </w:tcPr>
          <w:p>
            <w:pPr>
              <w:jc w:val="center"/>
              <w:rPr>
                <w:rFonts w:ascii="宋体"/>
                <w:sz w:val="22"/>
                <w:szCs w:val="22"/>
              </w:rPr>
            </w:pPr>
            <w:r>
              <w:rPr>
                <w:rFonts w:ascii="宋体" w:hint="eastAsia"/>
                <w:sz w:val="22"/>
                <w:szCs w:val="22"/>
              </w:rPr>
              <w:t>3</w:t>
            </w:r>
          </w:p>
        </w:tc>
        <w:tc>
          <w:tcPr>
            <w:tcW w:w="1333" w:type="dxa"/>
            <w:vAlign w:val="center"/>
          </w:tcPr>
          <w:p>
            <w:pPr>
              <w:jc w:val="center"/>
              <w:rPr>
                <w:rFonts w:ascii="宋体"/>
                <w:sz w:val="22"/>
                <w:szCs w:val="22"/>
              </w:rPr>
            </w:pPr>
            <w:r>
              <w:rPr>
                <w:rFonts w:ascii="宋体" w:hint="eastAsia"/>
                <w:sz w:val="22"/>
                <w:szCs w:val="22"/>
              </w:rPr>
              <w:t>5</w:t>
            </w:r>
          </w:p>
        </w:tc>
        <w:tc>
          <w:tcPr>
            <w:tcW w:w="1483" w:type="dxa"/>
            <w:vAlign w:val="center"/>
          </w:tcPr>
          <w:p>
            <w:pPr>
              <w:jc w:val="center"/>
              <w:rPr>
                <w:rFonts w:ascii="宋体"/>
                <w:sz w:val="22"/>
                <w:szCs w:val="22"/>
              </w:rPr>
            </w:pPr>
            <w:r>
              <w:rPr>
                <w:rFonts w:ascii="宋体" w:hint="eastAsia"/>
                <w:sz w:val="22"/>
                <w:szCs w:val="22"/>
              </w:rPr>
              <w:t>8</w:t>
            </w:r>
          </w:p>
        </w:tc>
        <w:tc>
          <w:tcPr>
            <w:tcW w:w="1670" w:type="dxa"/>
            <w:vAlign w:val="center"/>
          </w:tcPr>
          <w:p>
            <w:pPr>
              <w:jc w:val="center"/>
              <w:rPr>
                <w:rFonts w:ascii="宋体"/>
                <w:sz w:val="22"/>
                <w:szCs w:val="22"/>
              </w:rPr>
            </w:pPr>
            <w:r>
              <w:rPr>
                <w:rFonts w:ascii="宋体" w:hint="eastAsia"/>
                <w:sz w:val="22"/>
                <w:szCs w:val="22"/>
              </w:rPr>
              <w:t>/</w:t>
            </w:r>
          </w:p>
        </w:tc>
      </w:tr>
    </w:tbl>
    <w:p>
      <w:pPr>
        <w:adjustRightInd w:val="0"/>
        <w:snapToGrid w:val="0"/>
        <w:spacing w:before="0" w:line="620" w:lineRule="exact"/>
        <w:ind w:firstLineChars="200" w:firstLine="640"/>
        <w:rPr>
          <w:rFonts w:ascii="Times New Roman" w:eastAsia="黑体" w:cs="Times New Roman" w:hAnsi="Times New Roman"/>
          <w:sz w:val="32"/>
          <w:szCs w:val="32"/>
        </w:rPr>
      </w:pPr>
      <w:r>
        <w:rPr>
          <w:rFonts w:ascii="Times New Roman" w:eastAsia="仿宋_GB2312" w:cs="Times New Roman" w:hAnsi="Times New Roman"/>
          <w:sz w:val="32"/>
          <w:szCs w:val="32"/>
        </w:rPr>
        <w:t>2.单件质量抽样规范。印制质量检测样本每个品种3册（份）；复制质量检测样本每个品种3片；环保质量检测样本每个品种8册，须用铝箔袋进行封装。</w:t>
      </w:r>
    </w:p>
    <w:p>
      <w:pPr>
        <w:adjustRightInd w:val="0"/>
        <w:snapToGrid w:val="0"/>
        <w:spacing w:before="0" w:line="620" w:lineRule="exact"/>
        <w:ind w:firstLineChars="200" w:firstLine="640"/>
        <w:rPr>
          <w:rFonts w:ascii="黑体" w:eastAsia="黑体" w:cs="黑体" w:hint="eastAsia"/>
          <w:sz w:val="32"/>
          <w:szCs w:val="32"/>
          <w:lang w:eastAsia="zh-CN"/>
        </w:rPr>
      </w:pPr>
      <w:r>
        <w:rPr>
          <w:rFonts w:ascii="黑体" w:eastAsia="黑体" w:cs="黑体" w:hint="eastAsia"/>
          <w:sz w:val="32"/>
          <w:szCs w:val="32"/>
        </w:rPr>
        <w:t>三、质量检测</w:t>
      </w:r>
      <w:r>
        <w:rPr>
          <w:rFonts w:ascii="黑体" w:eastAsia="黑体" w:cs="黑体" w:hint="eastAsia"/>
          <w:sz w:val="32"/>
          <w:szCs w:val="32"/>
          <w:lang w:eastAsia="zh-CN"/>
        </w:rPr>
        <w:t>标准</w:t>
      </w:r>
    </w:p>
    <w:p>
      <w:pPr>
        <w:adjustRightInd w:val="0"/>
        <w:snapToGrid w:val="0"/>
        <w:spacing w:before="0" w:line="620" w:lineRule="exact"/>
        <w:ind w:firstLineChars="200" w:firstLine="640"/>
        <w:rPr>
          <w:rFonts w:ascii="楷体_GB2312" w:eastAsia="楷体_GB2312" w:cs="楷体_GB2312"/>
          <w:b/>
          <w:bCs/>
          <w:sz w:val="32"/>
          <w:szCs w:val="32"/>
        </w:rPr>
      </w:pPr>
      <w:r>
        <w:rPr>
          <w:rFonts w:ascii="楷体_GB2312" w:eastAsia="楷体_GB2312" w:cs="楷体_GB2312" w:hint="eastAsia"/>
          <w:b/>
          <w:bCs/>
          <w:sz w:val="32"/>
          <w:szCs w:val="32"/>
        </w:rPr>
        <w:t>（一）出版产品印刷复制质量</w:t>
      </w:r>
    </w:p>
    <w:p>
      <w:pPr>
        <w:adjustRightInd w:val="0"/>
        <w:snapToGrid w:val="0"/>
        <w:spacing w:before="0" w:line="62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w:t>
      </w:r>
      <w:r>
        <w:rPr>
          <w:rFonts w:ascii="仿宋_GB2312" w:eastAsia="仿宋_GB2312" w:cs="仿宋_GB2312" w:hint="eastAsia"/>
          <w:sz w:val="32"/>
          <w:szCs w:val="32"/>
        </w:rPr>
        <w:t>.图书期刊生产过程和成品印制质量检测依据《纸质印刷产品印制质量检验规</w:t>
      </w:r>
      <w:r>
        <w:rPr>
          <w:rFonts w:ascii="Times New Roman" w:eastAsia="仿宋_GB2312" w:cs="Times New Roman" w:hAnsi="Times New Roman"/>
          <w:sz w:val="32"/>
          <w:szCs w:val="32"/>
        </w:rPr>
        <w:t>范 第3部分：图书期刊》（GB/T 34053.3-2017）。</w:t>
      </w:r>
    </w:p>
    <w:p>
      <w:pPr>
        <w:adjustRightInd w:val="0"/>
        <w:snapToGrid w:val="0"/>
        <w:spacing w:line="620" w:lineRule="exact"/>
        <w:ind w:firstLineChars="200" w:firstLine="640"/>
        <w:rPr>
          <w:rFonts w:ascii="Times New Roman" w:eastAsia="仿宋_GB2312" w:cs="Times New Roman" w:hAnsi="Times New Roman"/>
          <w:sz w:val="32"/>
          <w:szCs w:val="32"/>
        </w:rPr>
      </w:pPr>
      <w:r>
        <w:rPr>
          <w:rFonts w:eastAsia="仿宋_GB2312" w:cs="Times New Roman" w:hint="eastAsia"/>
          <w:sz w:val="32"/>
          <w:szCs w:val="32"/>
          <w:lang w:eastAsia="zh-CN"/>
        </w:rPr>
        <w:t>2</w:t>
      </w:r>
      <w:r>
        <w:rPr>
          <w:rFonts w:ascii="Times New Roman" w:eastAsia="仿宋_GB2312" w:cs="Times New Roman" w:hAnsi="Times New Roman"/>
          <w:sz w:val="32"/>
          <w:szCs w:val="32"/>
        </w:rPr>
        <w:t>.报纸成品印制质量检测依据《纸质印刷产品印制质量检验规范 第5部分：报纸》（GB/T 34053.5-2017）。</w:t>
      </w:r>
    </w:p>
    <w:p>
      <w:pPr>
        <w:adjustRightInd w:val="0"/>
        <w:snapToGrid w:val="0"/>
        <w:spacing w:line="620" w:lineRule="exact"/>
        <w:ind w:firstLineChars="200" w:firstLine="640"/>
        <w:rPr>
          <w:rFonts w:ascii="Times New Roman" w:eastAsia="仿宋_GB2312" w:cs="Times New Roman" w:hAnsi="Times New Roman"/>
          <w:sz w:val="32"/>
          <w:szCs w:val="32"/>
        </w:rPr>
      </w:pPr>
      <w:r>
        <w:rPr>
          <w:rFonts w:eastAsia="仿宋_GB2312" w:cs="Times New Roman" w:hint="eastAsia"/>
          <w:sz w:val="32"/>
          <w:szCs w:val="32"/>
          <w:lang w:eastAsia="zh-CN"/>
        </w:rPr>
        <w:t>3</w:t>
      </w:r>
      <w:r>
        <w:rPr>
          <w:rFonts w:ascii="Times New Roman" w:eastAsia="仿宋_GB2312" w:cs="Times New Roman" w:hAnsi="Times New Roman"/>
          <w:sz w:val="32"/>
          <w:szCs w:val="32"/>
        </w:rPr>
        <w:t>.</w:t>
      </w:r>
      <w:r>
        <w:rPr>
          <w:rFonts w:ascii="Times New Roman" w:eastAsia="仿宋_GB2312" w:cs="Times New Roman" w:hAnsi="Times New Roman"/>
          <w:spacing w:val="8"/>
          <w:kern w:val="0"/>
          <w:sz w:val="32"/>
          <w:szCs w:val="32"/>
        </w:rPr>
        <w:t>光盘类音像电子出版物成品</w:t>
      </w:r>
      <w:r>
        <w:rPr>
          <w:rFonts w:ascii="Times New Roman" w:eastAsia="仿宋_GB2312" w:cs="Times New Roman" w:hAnsi="Times New Roman"/>
          <w:sz w:val="32"/>
          <w:szCs w:val="32"/>
        </w:rPr>
        <w:t>复制质量检测依据《只读类出版物光盘CD、DVD常规检测参数》（GB/T 33663-2017）、《可录类出版物光盘CD-R、DVD-R、DVD+R常规检测参数》（GB/T 33662-2017）。</w:t>
      </w:r>
    </w:p>
    <w:p>
      <w:pPr>
        <w:adjustRightInd w:val="0"/>
        <w:snapToGrid w:val="0"/>
        <w:spacing w:line="620" w:lineRule="exact"/>
        <w:ind w:firstLineChars="200" w:firstLine="640"/>
        <w:rPr>
          <w:rFonts w:ascii="楷体_GB2312" w:eastAsia="楷体_GB2312" w:cs="楷体_GB2312" w:hint="eastAsia"/>
          <w:b/>
          <w:bCs/>
          <w:sz w:val="32"/>
          <w:szCs w:val="32"/>
        </w:rPr>
      </w:pPr>
      <w:r>
        <w:rPr>
          <w:rFonts w:ascii="楷体_GB2312" w:eastAsia="楷体_GB2312" w:cs="楷体_GB2312" w:hint="eastAsia"/>
          <w:b/>
          <w:bCs/>
          <w:sz w:val="32"/>
          <w:szCs w:val="32"/>
        </w:rPr>
        <w:t>（二）中小学重点教材印制和环保质量</w:t>
      </w:r>
    </w:p>
    <w:p>
      <w:pPr>
        <w:adjustRightInd w:val="0"/>
        <w:snapToGrid w:val="0"/>
        <w:spacing w:line="62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1.生产过程和成品印制质量检测依据《纸质印刷产品印制质量检验规范 第4部分：中小学教科书》（GB/T 34053.4 -2017）和《儿童青少年学习用品近视防控卫生要求》（</w:t>
      </w:r>
      <w:r>
        <w:rPr>
          <w:rFonts w:ascii="Times New Roman" w:eastAsia="仿宋_GB2312" w:cs="Times New Roman" w:hAnsi="Times New Roman"/>
          <w:kern w:val="0"/>
          <w:sz w:val="32"/>
          <w:szCs w:val="32"/>
        </w:rPr>
        <w:t>GB 40070-2021</w:t>
      </w:r>
      <w:r>
        <w:rPr>
          <w:rFonts w:ascii="Times New Roman" w:eastAsia="仿宋_GB2312" w:cs="Times New Roman" w:hAnsi="Times New Roman"/>
          <w:sz w:val="32"/>
          <w:szCs w:val="32"/>
        </w:rPr>
        <w:t>）。</w:t>
      </w:r>
    </w:p>
    <w:p>
      <w:pPr>
        <w:adjustRightInd w:val="0"/>
        <w:snapToGrid w:val="0"/>
        <w:spacing w:line="620" w:lineRule="exact"/>
        <w:ind w:firstLineChars="200" w:firstLine="640"/>
        <w:rPr>
          <w:rFonts w:ascii="Times New Roman" w:eastAsia="仿宋_GB2312" w:cs="Times New Roman" w:hAnsi="Times New Roman"/>
          <w:sz w:val="30"/>
          <w:szCs w:val="30"/>
        </w:rPr>
      </w:pPr>
      <w:r>
        <w:rPr>
          <w:rFonts w:ascii="Times New Roman" w:eastAsia="仿宋_GB2312" w:cs="Times New Roman" w:hAnsi="Times New Roman"/>
          <w:sz w:val="32"/>
          <w:szCs w:val="32"/>
        </w:rPr>
        <w:t>2.生产过程环保质量筛查和成品环保质量检测分别参考和依据《环境标志产品技术要求 印刷 第一部分：平版印刷》（HJ 2503-2011）。</w:t>
      </w:r>
    </w:p>
    <w:p>
      <w:pPr>
        <w:adjustRightInd w:val="0"/>
        <w:snapToGrid w:val="0"/>
        <w:spacing w:line="620" w:lineRule="exact"/>
        <w:ind w:firstLineChars="200" w:firstLine="640"/>
        <w:rPr>
          <w:rFonts w:ascii="黑体" w:eastAsia="黑体" w:cs="黑体" w:hint="eastAsia"/>
          <w:sz w:val="32"/>
          <w:szCs w:val="32"/>
          <w:lang w:eastAsia="zh-CN"/>
        </w:rPr>
      </w:pPr>
      <w:r>
        <w:rPr>
          <w:rFonts w:ascii="黑体" w:eastAsia="黑体" w:cs="黑体" w:hint="eastAsia"/>
          <w:sz w:val="32"/>
          <w:szCs w:val="32"/>
        </w:rPr>
        <w:t>四、质量判定</w:t>
      </w:r>
      <w:r>
        <w:rPr>
          <w:rFonts w:ascii="黑体" w:eastAsia="黑体" w:cs="黑体" w:hint="eastAsia"/>
          <w:sz w:val="32"/>
          <w:szCs w:val="32"/>
          <w:lang w:eastAsia="zh-CN"/>
        </w:rPr>
        <w:t>方法</w:t>
      </w:r>
    </w:p>
    <w:p>
      <w:pPr>
        <w:adjustRightInd w:val="0"/>
        <w:snapToGrid w:val="0"/>
        <w:spacing w:line="620" w:lineRule="exact"/>
        <w:ind w:firstLine="641"/>
        <w:rPr>
          <w:rFonts w:ascii="仿宋_GB2312" w:eastAsia="仿宋_GB2312" w:cs="仿宋_GB2312"/>
          <w:b/>
          <w:bCs/>
          <w:sz w:val="32"/>
          <w:szCs w:val="32"/>
        </w:rPr>
      </w:pPr>
      <w:r>
        <w:rPr>
          <w:rFonts w:ascii="楷体_GB2312" w:eastAsia="楷体_GB2312" w:cs="楷体_GB2312" w:hint="eastAsia"/>
          <w:b/>
          <w:bCs/>
          <w:sz w:val="32"/>
          <w:szCs w:val="32"/>
        </w:rPr>
        <w:t>（一）批量产品质量判定</w:t>
      </w:r>
    </w:p>
    <w:p>
      <w:pPr>
        <w:adjustRightInd w:val="0"/>
        <w:snapToGrid w:val="0"/>
        <w:spacing w:line="620" w:lineRule="exact"/>
        <w:ind w:firstLine="641"/>
        <w:rPr>
          <w:rFonts w:ascii="Times New Roman" w:eastAsia="仿宋_GB2312" w:cs="Times New Roman" w:hAnsi="Times New Roman"/>
          <w:sz w:val="32"/>
          <w:szCs w:val="32"/>
        </w:rPr>
      </w:pPr>
      <w:r>
        <w:rPr>
          <w:rFonts w:ascii="Times New Roman" w:eastAsia="仿宋_GB2312" w:cs="Times New Roman" w:hAnsi="Times New Roman"/>
          <w:sz w:val="32"/>
          <w:szCs w:val="32"/>
        </w:rPr>
        <w:t>1.批量产品印制质量判定等</w:t>
      </w:r>
      <w:r>
        <w:rPr>
          <w:rFonts w:ascii="仿宋_GB2312" w:eastAsia="仿宋_GB2312" w:cs="仿宋_GB2312" w:hint="eastAsia"/>
          <w:sz w:val="32"/>
          <w:szCs w:val="32"/>
        </w:rPr>
        <w:t>级分为“合格”和“不合格”。</w:t>
      </w:r>
    </w:p>
    <w:p>
      <w:pPr>
        <w:adjustRightInd w:val="0"/>
        <w:snapToGrid w:val="0"/>
        <w:spacing w:line="620" w:lineRule="exact"/>
        <w:ind w:firstLine="641"/>
        <w:rPr>
          <w:rFonts w:ascii="Times New Roman" w:eastAsia="仿宋_GB2312" w:cs="Times New Roman" w:hAnsi="Times New Roman"/>
          <w:sz w:val="32"/>
          <w:szCs w:val="32"/>
        </w:rPr>
      </w:pPr>
      <w:r>
        <w:rPr>
          <w:rFonts w:ascii="Times New Roman" w:eastAsia="仿宋_GB2312" w:cs="Times New Roman" w:hAnsi="Times New Roman"/>
          <w:sz w:val="32"/>
          <w:szCs w:val="32"/>
        </w:rPr>
        <w:t>2.依据《纸质印刷产品印制质量检验规范 第2部分：抽样判定规则》（GB/T 34053.2-2017）进行印制批质量判定，</w:t>
      </w:r>
      <w:r>
        <w:rPr>
          <w:rFonts w:ascii="Times New Roman" w:eastAsia="仿宋_GB2312" w:cs="Times New Roman" w:hAnsi="Times New Roman"/>
          <w:color w:val="000000"/>
          <w:sz w:val="32"/>
          <w:szCs w:val="32"/>
        </w:rPr>
        <w:t>即不合格样本数小于不合格判定数，批质量为合格；否则，批质量为不合格。</w:t>
      </w:r>
      <w:r>
        <w:rPr>
          <w:rFonts w:ascii="Times New Roman" w:eastAsia="仿宋_GB2312" w:cs="Times New Roman" w:hAnsi="Times New Roman"/>
          <w:sz w:val="32"/>
          <w:szCs w:val="32"/>
        </w:rPr>
        <w:t>具体见表2。</w:t>
      </w:r>
    </w:p>
    <w:p>
      <w:pPr>
        <w:spacing w:line="600" w:lineRule="exact"/>
        <w:jc w:val="center"/>
        <w:rPr>
          <w:rFonts w:ascii="黑体" w:eastAsia="黑体"/>
          <w:sz w:val="24"/>
        </w:rPr>
      </w:pPr>
      <w:r>
        <w:rPr>
          <w:rFonts w:ascii="黑体" w:eastAsia="黑体" w:hint="eastAsia"/>
          <w:sz w:val="24"/>
        </w:rPr>
        <w:t>表2 印制批质量判定规则</w:t>
      </w: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961"/>
        <w:gridCol w:w="892"/>
        <w:gridCol w:w="892"/>
        <w:gridCol w:w="892"/>
        <w:gridCol w:w="892"/>
        <w:gridCol w:w="892"/>
        <w:gridCol w:w="897"/>
        <w:gridCol w:w="893"/>
      </w:tblGrid>
      <w:tr>
        <w:trPr>
          <w:trHeight w:val="567"/>
        </w:trPr>
        <w:tc>
          <w:tcPr>
            <w:tcW w:w="1961" w:type="dxa"/>
            <w:vAlign w:val="center"/>
          </w:tcPr>
          <w:p>
            <w:pPr>
              <w:jc w:val="center"/>
              <w:rPr>
                <w:rFonts w:ascii="黑体" w:eastAsia="黑体" w:cs="黑体"/>
                <w:snapToGrid w:val="0"/>
                <w:kern w:val="0"/>
                <w:sz w:val="22"/>
                <w:szCs w:val="22"/>
              </w:rPr>
            </w:pPr>
            <w:r>
              <w:rPr>
                <w:rFonts w:ascii="黑体" w:eastAsia="黑体" w:cs="黑体" w:hint="eastAsia"/>
                <w:snapToGrid w:val="0"/>
                <w:kern w:val="0"/>
                <w:sz w:val="22"/>
                <w:szCs w:val="22"/>
              </w:rPr>
              <w:t>样本量（册、份）</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3</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5</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8</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13</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20</w:t>
            </w:r>
          </w:p>
        </w:tc>
        <w:tc>
          <w:tcPr>
            <w:tcW w:w="897" w:type="dxa"/>
            <w:vAlign w:val="center"/>
          </w:tcPr>
          <w:p>
            <w:pPr>
              <w:jc w:val="center"/>
              <w:rPr>
                <w:rFonts w:ascii="宋体" w:cs="宋体"/>
                <w:snapToGrid w:val="0"/>
                <w:kern w:val="0"/>
                <w:sz w:val="22"/>
                <w:szCs w:val="22"/>
              </w:rPr>
            </w:pPr>
            <w:r>
              <w:rPr>
                <w:rFonts w:ascii="宋体" w:cs="宋体" w:hint="eastAsia"/>
                <w:snapToGrid w:val="0"/>
                <w:kern w:val="0"/>
                <w:sz w:val="22"/>
                <w:szCs w:val="22"/>
              </w:rPr>
              <w:t>32</w:t>
            </w:r>
          </w:p>
        </w:tc>
        <w:tc>
          <w:tcPr>
            <w:tcW w:w="893" w:type="dxa"/>
            <w:vAlign w:val="center"/>
          </w:tcPr>
          <w:p>
            <w:pPr>
              <w:jc w:val="center"/>
              <w:rPr>
                <w:rFonts w:ascii="宋体" w:cs="宋体"/>
                <w:snapToGrid w:val="0"/>
                <w:kern w:val="0"/>
                <w:sz w:val="22"/>
                <w:szCs w:val="22"/>
              </w:rPr>
            </w:pPr>
            <w:r>
              <w:rPr>
                <w:rFonts w:ascii="宋体" w:cs="宋体" w:hint="eastAsia"/>
                <w:snapToGrid w:val="0"/>
                <w:kern w:val="0"/>
                <w:sz w:val="22"/>
                <w:szCs w:val="22"/>
              </w:rPr>
              <w:t>50</w:t>
            </w:r>
          </w:p>
        </w:tc>
      </w:tr>
      <w:tr>
        <w:trPr>
          <w:trHeight w:val="567"/>
        </w:trPr>
        <w:tc>
          <w:tcPr>
            <w:tcW w:w="1961" w:type="dxa"/>
            <w:vAlign w:val="center"/>
          </w:tcPr>
          <w:p>
            <w:pPr>
              <w:jc w:val="center"/>
              <w:rPr>
                <w:rFonts w:ascii="黑体" w:eastAsia="黑体" w:cs="黑体"/>
                <w:snapToGrid w:val="0"/>
                <w:kern w:val="0"/>
                <w:sz w:val="22"/>
                <w:szCs w:val="22"/>
              </w:rPr>
            </w:pPr>
            <w:r>
              <w:rPr>
                <w:rFonts w:ascii="黑体" w:eastAsia="黑体" w:cs="黑体" w:hint="eastAsia"/>
                <w:snapToGrid w:val="0"/>
                <w:kern w:val="0"/>
                <w:sz w:val="22"/>
                <w:szCs w:val="22"/>
              </w:rPr>
              <w:t>图书期刊</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2</w:t>
            </w:r>
          </w:p>
        </w:tc>
        <w:tc>
          <w:tcPr>
            <w:tcW w:w="892"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3</w:t>
            </w:r>
          </w:p>
        </w:tc>
        <w:tc>
          <w:tcPr>
            <w:tcW w:w="897"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4</w:t>
            </w:r>
          </w:p>
        </w:tc>
        <w:tc>
          <w:tcPr>
            <w:tcW w:w="893"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6</w:t>
            </w:r>
          </w:p>
        </w:tc>
      </w:tr>
      <w:tr>
        <w:trPr>
          <w:trHeight w:val="567"/>
        </w:trPr>
        <w:tc>
          <w:tcPr>
            <w:tcW w:w="1961" w:type="dxa"/>
            <w:vAlign w:val="center"/>
          </w:tcPr>
          <w:p>
            <w:pPr>
              <w:jc w:val="center"/>
              <w:rPr>
                <w:rFonts w:ascii="黑体" w:eastAsia="黑体" w:cs="黑体"/>
                <w:snapToGrid w:val="0"/>
                <w:kern w:val="0"/>
                <w:sz w:val="22"/>
                <w:szCs w:val="22"/>
              </w:rPr>
            </w:pPr>
            <w:r>
              <w:rPr>
                <w:rFonts w:ascii="黑体" w:eastAsia="黑体" w:cs="黑体" w:hint="eastAsia"/>
                <w:snapToGrid w:val="0"/>
                <w:kern w:val="0"/>
                <w:sz w:val="22"/>
                <w:szCs w:val="22"/>
              </w:rPr>
              <w:t>教材教辅</w:t>
            </w:r>
          </w:p>
          <w:p>
            <w:pPr>
              <w:jc w:val="center"/>
              <w:rPr>
                <w:rFonts w:ascii="黑体" w:eastAsia="黑体" w:cs="黑体"/>
                <w:snapToGrid w:val="0"/>
                <w:kern w:val="0"/>
                <w:sz w:val="22"/>
                <w:szCs w:val="22"/>
              </w:rPr>
            </w:pPr>
            <w:r>
              <w:rPr>
                <w:rFonts w:ascii="黑体" w:eastAsia="黑体" w:cs="黑体" w:hint="eastAsia"/>
                <w:snapToGrid w:val="0"/>
                <w:kern w:val="0"/>
                <w:sz w:val="22"/>
                <w:szCs w:val="22"/>
              </w:rPr>
              <w:t>不合格判定数</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2</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3</w:t>
            </w:r>
          </w:p>
        </w:tc>
        <w:tc>
          <w:tcPr>
            <w:tcW w:w="892"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4</w:t>
            </w:r>
          </w:p>
        </w:tc>
        <w:tc>
          <w:tcPr>
            <w:tcW w:w="897"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6</w:t>
            </w:r>
          </w:p>
        </w:tc>
        <w:tc>
          <w:tcPr>
            <w:tcW w:w="893"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8</w:t>
            </w:r>
          </w:p>
        </w:tc>
      </w:tr>
      <w:tr>
        <w:trPr>
          <w:trHeight w:val="567"/>
        </w:trPr>
        <w:tc>
          <w:tcPr>
            <w:tcW w:w="1961" w:type="dxa"/>
            <w:vAlign w:val="center"/>
          </w:tcPr>
          <w:p>
            <w:pPr>
              <w:jc w:val="center"/>
              <w:rPr>
                <w:rFonts w:ascii="黑体" w:eastAsia="黑体" w:cs="黑体"/>
                <w:snapToGrid w:val="0"/>
                <w:kern w:val="0"/>
                <w:sz w:val="22"/>
                <w:szCs w:val="22"/>
              </w:rPr>
            </w:pPr>
            <w:r>
              <w:rPr>
                <w:rFonts w:ascii="黑体" w:eastAsia="黑体" w:cs="黑体" w:hint="eastAsia"/>
                <w:snapToGrid w:val="0"/>
                <w:kern w:val="0"/>
                <w:sz w:val="22"/>
                <w:szCs w:val="22"/>
              </w:rPr>
              <w:t>报纸</w:t>
            </w:r>
          </w:p>
          <w:p>
            <w:pPr>
              <w:jc w:val="center"/>
              <w:rPr>
                <w:rFonts w:ascii="黑体" w:eastAsia="黑体" w:cs="黑体"/>
                <w:snapToGrid w:val="0"/>
                <w:kern w:val="0"/>
                <w:sz w:val="22"/>
                <w:szCs w:val="22"/>
              </w:rPr>
            </w:pPr>
            <w:r>
              <w:rPr>
                <w:rFonts w:ascii="黑体" w:eastAsia="黑体" w:cs="黑体" w:hint="eastAsia"/>
                <w:snapToGrid w:val="0"/>
                <w:kern w:val="0"/>
                <w:sz w:val="22"/>
                <w:szCs w:val="22"/>
              </w:rPr>
              <w:t>不合格判定数</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1</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2</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2</w:t>
            </w:r>
          </w:p>
        </w:tc>
        <w:tc>
          <w:tcPr>
            <w:tcW w:w="892" w:type="dxa"/>
            <w:vAlign w:val="center"/>
          </w:tcPr>
          <w:p>
            <w:pPr>
              <w:jc w:val="center"/>
              <w:rPr>
                <w:rFonts w:ascii="宋体" w:cs="宋体"/>
                <w:snapToGrid w:val="0"/>
                <w:kern w:val="0"/>
                <w:sz w:val="22"/>
                <w:szCs w:val="22"/>
              </w:rPr>
            </w:pPr>
            <w:r>
              <w:rPr>
                <w:rFonts w:ascii="宋体" w:cs="宋体" w:hint="eastAsia"/>
                <w:snapToGrid w:val="0"/>
                <w:kern w:val="0"/>
                <w:sz w:val="22"/>
                <w:szCs w:val="22"/>
              </w:rPr>
              <w:t>/</w:t>
            </w:r>
          </w:p>
        </w:tc>
        <w:tc>
          <w:tcPr>
            <w:tcW w:w="892"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w:t>
            </w:r>
          </w:p>
        </w:tc>
        <w:tc>
          <w:tcPr>
            <w:tcW w:w="897"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w:t>
            </w:r>
          </w:p>
        </w:tc>
        <w:tc>
          <w:tcPr>
            <w:tcW w:w="893" w:type="dxa"/>
            <w:vAlign w:val="center"/>
          </w:tcPr>
          <w:p>
            <w:pPr>
              <w:tabs>
                <w:tab w:val="center" w:pos="4153"/>
                <w:tab w:val="right" w:pos="8306"/>
              </w:tabs>
              <w:jc w:val="center"/>
              <w:rPr>
                <w:rFonts w:ascii="宋体" w:cs="宋体"/>
                <w:snapToGrid w:val="0"/>
                <w:kern w:val="0"/>
                <w:sz w:val="22"/>
                <w:szCs w:val="22"/>
              </w:rPr>
            </w:pPr>
            <w:r>
              <w:rPr>
                <w:rFonts w:ascii="宋体" w:cs="宋体" w:hint="eastAsia"/>
                <w:snapToGrid w:val="0"/>
                <w:kern w:val="0"/>
                <w:sz w:val="22"/>
                <w:szCs w:val="22"/>
              </w:rPr>
              <w:t>/</w:t>
            </w:r>
          </w:p>
        </w:tc>
      </w:tr>
    </w:tbl>
    <w:p>
      <w:pPr>
        <w:adjustRightInd w:val="0"/>
        <w:snapToGrid w:val="0"/>
        <w:spacing w:line="62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3.中小学重点教材环保质量、光盘类音像电子出版物复制质量暂不进行批质量判定。</w:t>
      </w:r>
    </w:p>
    <w:p>
      <w:pPr>
        <w:adjustRightInd w:val="0"/>
        <w:snapToGrid w:val="0"/>
        <w:spacing w:line="620" w:lineRule="exact"/>
        <w:ind w:firstLineChars="195" w:firstLine="624"/>
        <w:rPr>
          <w:rFonts w:ascii="楷体_GB2312" w:eastAsia="楷体_GB2312" w:cs="楷体_GB2312"/>
          <w:b/>
          <w:bCs/>
          <w:sz w:val="32"/>
          <w:szCs w:val="32"/>
        </w:rPr>
      </w:pPr>
      <w:r>
        <w:rPr>
          <w:rFonts w:ascii="楷体_GB2312" w:eastAsia="楷体_GB2312" w:cs="楷体_GB2312" w:hint="eastAsia"/>
          <w:b/>
          <w:bCs/>
          <w:sz w:val="32"/>
          <w:szCs w:val="32"/>
        </w:rPr>
        <w:t>（二）单件产品质量判定</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1.单册</w:t>
      </w:r>
      <w:r>
        <w:rPr>
          <w:rFonts w:ascii="仿宋_GB2312" w:eastAsia="仿宋_GB2312" w:cs="仿宋_GB2312" w:hint="eastAsia"/>
          <w:sz w:val="32"/>
          <w:szCs w:val="32"/>
        </w:rPr>
        <w:t>（份）产品印制质量判定等级分为“合格”和“不合格”。受检样本依据相应检测标准中的判定规则进行判定。检测标准中无判定规则的，受检样本依据标准中的技术要求进行判定。受检样本有一项及以上指标不符合技术要求，判定为不合格品；否则，判定其为合格品。</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2.单册产</w:t>
      </w:r>
      <w:r>
        <w:rPr>
          <w:rFonts w:ascii="仿宋_GB2312" w:eastAsia="仿宋_GB2312" w:cs="仿宋_GB2312" w:hint="eastAsia"/>
          <w:sz w:val="32"/>
          <w:szCs w:val="32"/>
        </w:rPr>
        <w:t>品环保质量判定等级分为“合格”和“不合格”。受检样本环保质量依据《环境标志产品技术要求 印刷 第一部分：平版印</w:t>
      </w:r>
      <w:r>
        <w:rPr>
          <w:rFonts w:ascii="Times New Roman" w:eastAsia="仿宋_GB2312" w:cs="Times New Roman" w:hAnsi="Times New Roman"/>
          <w:sz w:val="32"/>
          <w:szCs w:val="32"/>
        </w:rPr>
        <w:t>刷》（HJ 2503-2011）条款5.2</w:t>
      </w:r>
      <w:r>
        <w:rPr>
          <w:rFonts w:ascii="仿宋_GB2312" w:eastAsia="仿宋_GB2312" w:cs="仿宋_GB2312" w:hint="eastAsia"/>
          <w:sz w:val="32"/>
          <w:szCs w:val="32"/>
        </w:rPr>
        <w:t>进行判定。受检样本</w:t>
      </w:r>
      <w:r>
        <w:rPr>
          <w:rFonts w:ascii="Times New Roman" w:eastAsia="仿宋_GB2312" w:cs="Times New Roman" w:hAnsi="Times New Roman"/>
          <w:sz w:val="32"/>
          <w:szCs w:val="32"/>
        </w:rPr>
        <w:t>中16种挥发性有机化合物和8种可迁移元素的含量有一项及以上超出限值，判定其为不合格品；否则，判定其</w:t>
      </w:r>
      <w:r>
        <w:rPr>
          <w:rFonts w:ascii="仿宋_GB2312" w:eastAsia="仿宋_GB2312" w:cs="仿宋_GB2312" w:hint="eastAsia"/>
          <w:sz w:val="32"/>
          <w:szCs w:val="32"/>
        </w:rPr>
        <w:t>为合格品。</w:t>
      </w:r>
    </w:p>
    <w:p>
      <w:pPr>
        <w:adjustRightInd w:val="0"/>
        <w:snapToGrid w:val="0"/>
        <w:spacing w:line="620" w:lineRule="exact"/>
        <w:ind w:firstLineChars="200" w:firstLine="640"/>
        <w:rPr>
          <w:rFonts w:ascii="仿宋_GB2312" w:eastAsia="仿宋_GB2312" w:cs="仿宋_GB2312"/>
          <w:sz w:val="32"/>
          <w:szCs w:val="32"/>
        </w:rPr>
      </w:pPr>
      <w:r>
        <w:rPr>
          <w:rFonts w:ascii="Times New Roman" w:eastAsia="仿宋_GB2312" w:cs="Times New Roman" w:hAnsi="Times New Roman"/>
          <w:sz w:val="32"/>
          <w:szCs w:val="32"/>
        </w:rPr>
        <w:t>3.单片产</w:t>
      </w:r>
      <w:r>
        <w:rPr>
          <w:rFonts w:ascii="仿宋_GB2312" w:eastAsia="仿宋_GB2312" w:cs="仿宋_GB2312" w:hint="eastAsia"/>
          <w:sz w:val="32"/>
          <w:szCs w:val="32"/>
        </w:rPr>
        <w:t>品复制质量判定等级分为“合格”和“不合格”。受检样本复制</w:t>
      </w:r>
      <w:r>
        <w:rPr>
          <w:rFonts w:ascii="Times New Roman" w:eastAsia="仿宋_GB2312" w:cs="Times New Roman" w:hAnsi="Times New Roman"/>
          <w:sz w:val="32"/>
          <w:szCs w:val="32"/>
        </w:rPr>
        <w:t>质量依据《CD、DVD类出版物光盘复制质量检验评定规范》（GB/T 33664-2017）中的评定规则</w:t>
      </w:r>
      <w:r>
        <w:rPr>
          <w:rFonts w:ascii="仿宋_GB2312" w:eastAsia="仿宋_GB2312" w:cs="仿宋_GB2312" w:hint="eastAsia"/>
          <w:sz w:val="32"/>
          <w:szCs w:val="32"/>
        </w:rPr>
        <w:t>进行判定。</w:t>
      </w:r>
    </w:p>
    <w:p>
      <w:pPr>
        <w:adjustRightInd w:val="0"/>
        <w:snapToGrid w:val="0"/>
        <w:spacing w:line="620" w:lineRule="exact"/>
        <w:ind w:firstLineChars="200" w:firstLine="640"/>
        <w:rPr>
          <w:rFonts w:ascii="楷体_GB2312" w:eastAsia="楷体_GB2312" w:cs="仿宋_GB2312"/>
          <w:b/>
          <w:bCs/>
          <w:sz w:val="32"/>
          <w:szCs w:val="32"/>
        </w:rPr>
      </w:pPr>
      <w:r>
        <w:rPr>
          <w:rFonts w:ascii="楷体_GB2312" w:eastAsia="楷体_GB2312" w:cs="仿宋_GB2312" w:hint="eastAsia"/>
          <w:b/>
          <w:bCs/>
          <w:sz w:val="32"/>
          <w:szCs w:val="32"/>
        </w:rPr>
        <w:t>（三）生产过程质量判定</w:t>
      </w:r>
    </w:p>
    <w:p>
      <w:pPr>
        <w:overflowPunct w:val="0"/>
        <w:adjustRightInd w:val="0"/>
        <w:snapToGrid w:val="0"/>
        <w:spacing w:line="620" w:lineRule="exact"/>
        <w:ind w:firstLineChars="200" w:firstLine="640"/>
        <w:rPr>
          <w:rFonts w:ascii="仿宋_GB2312" w:eastAsia="仿宋_GB2312" w:cs="仿宋_GB2312" w:hint="eastAsia"/>
          <w:sz w:val="32"/>
          <w:szCs w:val="32"/>
        </w:rPr>
      </w:pPr>
      <w:r>
        <w:rPr>
          <w:rFonts w:ascii="Times New Roman" w:eastAsia="仿宋_GB2312" w:cs="Times New Roman" w:hAnsi="Times New Roman"/>
          <w:sz w:val="32"/>
          <w:szCs w:val="32"/>
        </w:rPr>
        <w:t>1.生产过程</w:t>
      </w:r>
      <w:r>
        <w:rPr>
          <w:rFonts w:ascii="仿宋_GB2312" w:eastAsia="仿宋_GB2312" w:cs="仿宋_GB2312" w:hint="eastAsia"/>
          <w:sz w:val="32"/>
          <w:szCs w:val="32"/>
        </w:rPr>
        <w:t>质量判定等级分为“合格”和“不合格”。</w:t>
      </w:r>
      <w:r>
        <w:rPr>
          <w:rFonts w:ascii="仿宋_GB2312" w:eastAsia="仿宋_GB2312" w:hint="eastAsia"/>
          <w:sz w:val="32"/>
          <w:szCs w:val="32"/>
        </w:rPr>
        <w:t>依据检测标准中的判定规则进行判定。</w:t>
      </w:r>
      <w:r>
        <w:rPr>
          <w:rFonts w:ascii="仿宋_GB2312" w:eastAsia="仿宋_GB2312" w:cs="仿宋_GB2312" w:hint="eastAsia"/>
          <w:sz w:val="32"/>
          <w:szCs w:val="32"/>
        </w:rPr>
        <w:t>检测标准中无判定规则的，有一项及以上指标不符合检测标准技术要求的，判定为不合格；否则，判定其为合格。</w:t>
      </w:r>
    </w:p>
    <w:p>
      <w:pPr>
        <w:overflowPunct w:val="0"/>
        <w:adjustRightInd w:val="0"/>
        <w:snapToGrid w:val="0"/>
        <w:spacing w:line="620" w:lineRule="exact"/>
        <w:ind w:firstLineChars="200" w:firstLine="640"/>
        <w:rPr>
          <w:rFonts w:ascii="Times New Roman" w:eastAsia="仿宋_GB2312" w:cs="Times New Roman" w:hAnsi="Times New Roman"/>
          <w:sz w:val="32"/>
          <w:szCs w:val="32"/>
        </w:rPr>
      </w:pPr>
      <w:r>
        <w:rPr>
          <w:rFonts w:ascii="Times New Roman" w:eastAsia="仿宋_GB2312" w:hAnsi="Times New Roman"/>
          <w:sz w:val="32"/>
          <w:szCs w:val="32"/>
          <w:lang w:val="en-US" w:eastAsia="zh-CN"/>
        </w:rPr>
        <w:t>2.</w:t>
      </w:r>
      <w:r>
        <w:rPr>
          <w:rFonts w:ascii="仿宋_GB2312" w:eastAsia="仿宋_GB2312" w:hint="eastAsia"/>
          <w:sz w:val="32"/>
          <w:szCs w:val="32"/>
        </w:rPr>
        <w:t>重点出版产品生产过程环保质量现场不进行判定。若质量风险较高的，需抽样送</w:t>
      </w:r>
      <w:r>
        <w:rPr>
          <w:rFonts w:ascii="Times New Roman" w:eastAsia="仿宋_GB2312" w:hAnsi="Times New Roman"/>
          <w:sz w:val="32"/>
          <w:szCs w:val="32"/>
        </w:rPr>
        <w:t>实验室检测，并依</w:t>
      </w:r>
      <w:r>
        <w:rPr>
          <w:rFonts w:ascii="Times New Roman" w:eastAsia="仿宋_GB2312" w:cs="Times New Roman" w:hAnsi="Times New Roman"/>
          <w:sz w:val="32"/>
          <w:szCs w:val="32"/>
        </w:rPr>
        <w:t>据《环境标志产品技术要求 印刷 第一部分：平版印刷》（HJ 2503-2011）条款5.2进行判定。</w:t>
      </w:r>
    </w:p>
    <w:p>
      <w:pPr>
        <w:adjustRightInd w:val="0"/>
        <w:snapToGrid w:val="0"/>
        <w:spacing w:line="620" w:lineRule="exact"/>
        <w:ind w:firstLineChars="200" w:firstLine="640"/>
        <w:rPr>
          <w:rFonts w:ascii="黑体" w:eastAsia="黑体" w:cs="黑体" w:hint="eastAsia"/>
          <w:sz w:val="32"/>
          <w:szCs w:val="32"/>
          <w:lang w:eastAsia="zh-CN"/>
        </w:rPr>
      </w:pPr>
      <w:r>
        <w:rPr>
          <w:rFonts w:ascii="黑体" w:eastAsia="黑体" w:cs="黑体" w:hint="eastAsia"/>
          <w:sz w:val="32"/>
          <w:szCs w:val="32"/>
          <w:lang w:eastAsia="zh-CN"/>
        </w:rPr>
        <w:t>五</w:t>
      </w:r>
      <w:r>
        <w:rPr>
          <w:rFonts w:ascii="黑体" w:eastAsia="黑体" w:cs="黑体" w:hint="eastAsia"/>
          <w:sz w:val="32"/>
          <w:szCs w:val="32"/>
        </w:rPr>
        <w:t>、</w:t>
      </w:r>
      <w:r>
        <w:rPr>
          <w:rFonts w:ascii="黑体" w:eastAsia="黑体" w:cs="黑体" w:hint="eastAsia"/>
          <w:sz w:val="32"/>
          <w:szCs w:val="32"/>
          <w:lang w:eastAsia="zh-CN"/>
        </w:rPr>
        <w:t>产品</w:t>
      </w:r>
      <w:r>
        <w:rPr>
          <w:rFonts w:ascii="黑体" w:eastAsia="黑体" w:cs="黑体" w:hint="eastAsia"/>
          <w:sz w:val="32"/>
          <w:szCs w:val="32"/>
        </w:rPr>
        <w:t>质量</w:t>
      </w:r>
      <w:r>
        <w:rPr>
          <w:rFonts w:ascii="黑体" w:eastAsia="黑体" w:cs="黑体" w:hint="eastAsia"/>
          <w:sz w:val="32"/>
          <w:szCs w:val="32"/>
          <w:lang w:eastAsia="zh-CN"/>
        </w:rPr>
        <w:t>风险监测</w:t>
      </w:r>
    </w:p>
    <w:p>
      <w:pPr>
        <w:adjustRightInd w:val="0"/>
        <w:snapToGrid w:val="0"/>
        <w:spacing w:line="620" w:lineRule="exact"/>
        <w:ind w:firstLineChars="200" w:firstLine="640"/>
        <w:rPr>
          <w:rFonts w:ascii="仿宋_GB2312" w:eastAsia="仿宋_GB2312" w:hint="eastAsia"/>
          <w:sz w:val="32"/>
          <w:szCs w:val="32"/>
        </w:rPr>
      </w:pPr>
      <w:r>
        <w:rPr>
          <w:rFonts w:ascii="仿宋_GB2312" w:eastAsia="仿宋_GB2312" w:cs="Times New Roman" w:hint="eastAsia"/>
          <w:sz w:val="32"/>
          <w:szCs w:val="32"/>
          <w:lang w:eastAsia="zh-CN"/>
        </w:rPr>
        <w:t>主要监测出版产品外观质量、印刷质量、表面整饰质量、成型质量。其中，外观质量重点监测书背字平移和歪斜误差， 印刷质量重点监测色差、套印误差，表面整饰质量重</w:t>
      </w:r>
      <w:r>
        <w:rPr>
          <w:rFonts w:ascii="仿宋_GB2312" w:eastAsia="仿宋_GB2312" w:cs="Times New Roman"/>
          <w:sz w:val="32"/>
          <w:szCs w:val="32"/>
          <w:lang w:eastAsia="zh-CN"/>
        </w:rPr>
        <w:t>点</w:t>
      </w:r>
      <w:r>
        <w:rPr>
          <w:rFonts w:ascii="仿宋_GB2312" w:eastAsia="仿宋_GB2312" w:cs="Times New Roman" w:hint="eastAsia"/>
          <w:sz w:val="32"/>
          <w:szCs w:val="32"/>
          <w:lang w:eastAsia="zh-CN"/>
        </w:rPr>
        <w:t>监测覆膜起泡、起皱，成品质量重点监测跨页接版偏差、开胶散页、多帖、少帖、倒头帖等问题。</w:t>
      </w:r>
    </w:p>
    <w:sectPr>
      <w:footerReference w:type="default" r:id="rId2"/>
      <w:pgSz w:w="11906" w:h="16838"/>
      <w:pgMar w:top="1984" w:right="1701" w:bottom="1701" w:left="1701" w:header="851" w:footer="992" w:gutter="0"/>
      <w:docGrid w:type="lines" w:linePitch="313"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mbria">
    <w:panose1 w:val="02040503050406030204"/>
    <w:charset w:val="00"/>
    <w:family w:val="roman"/>
    <w:pitch w:val="variable"/>
    <w:sig w:usb0="E00002FF" w:usb1="400004FF" w:usb2="00000000" w:usb3="00000000" w:csb0="2000019F" w:csb1="00000000"/>
  </w:font>
  <w:font w:name="Arial">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r>
      <w:fldChar w:fldCharType="begin"/>
    </w:r>
    <w:r>
      <w:instrText xml:space="preserve"> PAGE   \* MERGEFORMAT </w:instrText>
    </w:r>
    <w:r>
      <w:fldChar w:fldCharType="separate"/>
    </w:r>
    <w:r>
      <w:t>3</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MWUxOGFiODZjZTU2MDcwMDg2YWJkNzZkNzQ3M2U1MW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next w:val="0"/>
    <w:pPr>
      <w:widowControl w:val="0"/>
      <w:spacing w:before="100" w:beforeAutospacing="1" w:after="100" w:afterAutospacing="1"/>
      <w:outlineLvl w:val="0"/>
    </w:pPr>
    <w:rPr>
      <w:rFonts w:ascii="宋体" w:eastAsia="宋体" w:cs="Times New Roman"/>
      <w:b/>
      <w:bCs/>
      <w:kern w:val="44"/>
      <w:sz w:val="48"/>
      <w:szCs w:val="48"/>
      <w:lang w:val="en-US" w:eastAsia="zh-CN" w:bidi="ar-SA"/>
    </w:rPr>
  </w:style>
  <w:style w:type="paragraph" w:styleId="2">
    <w:name w:val="heading 2"/>
    <w:basedOn w:val="0"/>
    <w:autoRedefine/>
    <w:next w:val="0"/>
    <w:pPr>
      <w:keepNext/>
      <w:keepLines/>
      <w:widowControl w:val="0"/>
      <w:spacing w:before="260" w:after="260" w:line="415" w:lineRule="auto"/>
      <w:outlineLvl w:val="1"/>
    </w:pPr>
    <w:rPr>
      <w:rFonts w:ascii="Cambria" w:cs="宋体" w:hAnsi="Cambria"/>
      <w:b/>
      <w:bCs/>
      <w:sz w:val="32"/>
      <w:szCs w:val="32"/>
    </w:rPr>
  </w:style>
  <w:style w:type="character" w:default="1" w:styleId="10">
    <w:name w:val="Default Paragraph Font"/>
    <w:autoRedefine/>
  </w:style>
  <w:style w:type="paragraph" w:styleId="15">
    <w:name w:val="annotation text"/>
    <w:basedOn w:val="0"/>
    <w:autoRedefine/>
    <w:pPr>
      <w:jc w:val="left"/>
    </w:pPr>
  </w:style>
  <w:style w:type="paragraph" w:styleId="16">
    <w:name w:val="Body Text"/>
    <w:basedOn w:val="0"/>
    <w:autoRedefine/>
    <w:pPr>
      <w:spacing w:after="120"/>
    </w:pPr>
  </w:style>
  <w:style w:type="paragraph" w:styleId="17">
    <w:name w:val="Balloon Text"/>
    <w:basedOn w:val="0"/>
    <w:autoRedefine/>
    <w:rPr>
      <w:sz w:val="18"/>
      <w:szCs w:val="18"/>
    </w:rPr>
  </w:style>
  <w:style w:type="paragraph" w:styleId="18">
    <w:name w:val="footer"/>
    <w:basedOn w:val="0"/>
    <w:autoRedefine/>
    <w:pPr>
      <w:tabs>
        <w:tab w:val="center" w:pos="4153"/>
        <w:tab w:val="right" w:pos="8306"/>
      </w:tabs>
      <w:snapToGrid w:val="0"/>
      <w:jc w:val="center"/>
    </w:pPr>
    <w:rPr>
      <w:sz w:val="18"/>
    </w:rPr>
  </w:style>
  <w:style w:type="paragraph" w:styleId="19">
    <w:name w:val="header"/>
    <w:basedOn w:val="0"/>
    <w:autoRedefine/>
    <w:pPr>
      <w:pBdr>
        <w:bottom w:val="single" w:sz="6" w:space="1" w:color="auto"/>
      </w:pBdr>
      <w:tabs>
        <w:tab w:val="center" w:pos="4153"/>
        <w:tab w:val="right" w:pos="8306"/>
      </w:tabs>
      <w:snapToGrid w:val="0"/>
      <w:jc w:val="center"/>
    </w:pPr>
    <w:rPr>
      <w:sz w:val="18"/>
      <w:szCs w:val="18"/>
    </w:rPr>
  </w:style>
  <w:style w:type="paragraph" w:styleId="20">
    <w:name w:val="Normal (Web)"/>
    <w:basedOn w:val="0"/>
    <w:autoRedefine/>
    <w:pPr>
      <w:widowControl/>
      <w:spacing w:before="100" w:beforeAutospacing="1" w:after="100" w:afterAutospacing="1"/>
      <w:jc w:val="left"/>
    </w:pPr>
    <w:rPr>
      <w:rFonts w:ascii="宋体"/>
      <w:kern w:val="0"/>
      <w:sz w:val="24"/>
    </w:rPr>
  </w:style>
  <w:style w:type="paragraph" w:styleId="21">
    <w:name w:val="annotation subject"/>
    <w:basedOn w:val="15"/>
    <w:autoRedefine/>
    <w:next w:val="15"/>
    <w:rPr>
      <w:b/>
      <w:bCs/>
    </w:rPr>
  </w:style>
  <w:style w:type="paragraph" w:styleId="22">
    <w:name w:val="Body Text First Indent"/>
    <w:basedOn w:val="16"/>
    <w:autoRedefine/>
    <w:next w:val="0"/>
    <w:pPr>
      <w:spacing w:after="0" w:line="320" w:lineRule="atLeast"/>
    </w:pPr>
    <w:rPr>
      <w:rFonts w:ascii="宋体"/>
      <w:b/>
    </w:rPr>
  </w:style>
  <w:style w:type="character" w:styleId="23">
    <w:name w:val="Strong"/>
    <w:basedOn w:val="10"/>
    <w:autoRedefine/>
    <w:rPr>
      <w:b/>
    </w:rPr>
  </w:style>
  <w:style w:type="character" w:styleId="24">
    <w:name w:val="Hyperlink"/>
    <w:autoRedefine/>
    <w:rPr>
      <w:color w:val="000000"/>
    </w:rPr>
  </w:style>
  <w:style w:type="character" w:styleId="25">
    <w:name w:val="annotation reference"/>
    <w:basedOn w:val="10"/>
    <w:autoRedefine/>
    <w:rPr>
      <w:sz w:val="21"/>
      <w:szCs w:val="21"/>
    </w:rPr>
  </w:style>
  <w:style w:type="character" w:customStyle="1" w:styleId="26">
    <w:name w:val="NormalCharacter"/>
    <w:autoRedefine/>
  </w:style>
  <w:style w:type="paragraph" w:customStyle="1" w:styleId="27">
    <w:name w:val="修订1"/>
    <w:autoRedefine/>
    <w:rPr>
      <w:rFonts w:ascii="Times New Roman" w:eastAsia="宋体" w:cs="Times New Roman" w:hAnsi="Times New Roman"/>
      <w:kern w:val="2"/>
      <w:sz w:val="21"/>
      <w:szCs w:val="24"/>
      <w:lang w:val="en-US" w:eastAsia="zh-CN" w:bidi="ar-SA"/>
    </w:rPr>
  </w:style>
  <w:style w:type="paragraph" w:customStyle="1" w:styleId="28">
    <w:name w:val="List Paragraph_dae491a7-2238-4880-8070-d2f2b51e6c65"/>
    <w:basedOn w:val="0"/>
    <w:autoRedefine/>
    <w:pPr>
      <w:ind w:firstLine="420"/>
    </w:pPr>
  </w:style>
  <w:style w:type="character" w:customStyle="1" w:styleId="29">
    <w:name w:val="font11"/>
    <w:basedOn w:val="10"/>
    <w:autoRedefine/>
    <w:rPr>
      <w:rFonts w:ascii="宋体" w:eastAsia="宋体" w:cs="宋体"/>
      <w:color w:val="000000"/>
      <w:sz w:val="22"/>
      <w:szCs w:val="22"/>
      <w:u w:val="none"/>
    </w:rPr>
  </w:style>
  <w:style w:type="character" w:customStyle="1" w:styleId="30">
    <w:name w:val="font21"/>
    <w:basedOn w:val="10"/>
    <w:autoRedefine/>
    <w:rPr>
      <w:rFonts w:ascii="宋体" w:eastAsia="宋体" w:cs="宋体"/>
      <w:color w:val="000000"/>
      <w:sz w:val="24"/>
      <w:szCs w:val="24"/>
      <w:u w:val="none"/>
    </w:rPr>
  </w:style>
  <w:style w:type="character" w:customStyle="1" w:styleId="31">
    <w:name w:val="font31"/>
    <w:basedOn w:val="10"/>
    <w:autoRedefine/>
    <w:rPr>
      <w:rFonts w:ascii="Arial" w:cs="Arial" w:hAnsi="Arial"/>
      <w:color w:val="000000"/>
      <w:sz w:val="24"/>
      <w:szCs w:val="24"/>
      <w:u w:val="none"/>
    </w:rPr>
  </w:style>
  <w:style w:type="character" w:styleId="32">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82</TotalTime>
  <Application>Yozo_Office</Application>
  <Pages>6</Pages>
  <Words>2480</Words>
  <Characters>2748</Characters>
  <Lines>184</Lines>
  <Paragraphs>111</Paragraphs>
  <CharactersWithSpaces>2775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AutoBVT</dc:creator>
  <cp:lastModifiedBy>Administrator</cp:lastModifiedBy>
  <cp:revision>16</cp:revision>
  <cp:lastPrinted>2024-03-07T07:43:32Z</cp:lastPrinted>
  <dcterms:created xsi:type="dcterms:W3CDTF">2024-02-29T17:29:00Z</dcterms:created>
  <dcterms:modified xsi:type="dcterms:W3CDTF">2024-03-15T01:50:12Z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2052-12.1.0.16399</vt:lpwstr>
  </property>
  <property fmtid="{D5CDD505-2E9C-101B-9397-08002B2CF9AE}" pid="3" name="ICV">
    <vt:lpwstr>900C254E18CC4A478AA7C4B6AD946D8E_13</vt:lpwstr>
  </property>
</Properties>
</file>